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7.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C6" w:rsidRPr="004560C6" w:rsidRDefault="0051406B" w:rsidP="004560C6">
      <w:pPr>
        <w:rPr>
          <w:rFonts w:eastAsia="Times"/>
          <w:szCs w:val="20"/>
        </w:rPr>
      </w:pPr>
      <w:r>
        <w:rPr>
          <w:rFonts w:eastAsia="Times"/>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35pt;height:87.05pt" fillcolor="window">
            <v:imagedata r:id="rId13" o:title=""/>
          </v:shape>
        </w:pict>
      </w:r>
    </w:p>
    <w:p w:rsidR="004560C6" w:rsidRPr="004560C6" w:rsidRDefault="004560C6" w:rsidP="004560C6">
      <w:pPr>
        <w:rPr>
          <w:rFonts w:eastAsia="Times"/>
          <w:szCs w:val="20"/>
        </w:rPr>
      </w:pPr>
    </w:p>
    <w:p w:rsidR="004560C6" w:rsidRPr="004560C6" w:rsidRDefault="004560C6" w:rsidP="004560C6">
      <w:pPr>
        <w:spacing w:before="120" w:after="360"/>
        <w:rPr>
          <w:rFonts w:ascii="Arial" w:eastAsia="Times New Roman" w:hAnsi="Arial" w:cs="Arial"/>
          <w:b/>
          <w:sz w:val="40"/>
          <w:szCs w:val="40"/>
          <w:lang w:eastAsia="en-AU"/>
        </w:rPr>
      </w:pPr>
      <w:r w:rsidRPr="004560C6">
        <w:rPr>
          <w:rFonts w:ascii="Arial" w:eastAsia="Times New Roman" w:hAnsi="Arial" w:cs="Arial"/>
          <w:b/>
          <w:sz w:val="40"/>
          <w:szCs w:val="40"/>
          <w:lang w:eastAsia="en-AU"/>
        </w:rPr>
        <w:t xml:space="preserve">Reporting Standard SRS </w:t>
      </w:r>
      <w:r w:rsidR="007C006E">
        <w:rPr>
          <w:rFonts w:ascii="Arial" w:eastAsia="Times New Roman" w:hAnsi="Arial" w:cs="Arial"/>
          <w:b/>
          <w:sz w:val="40"/>
          <w:szCs w:val="40"/>
          <w:lang w:eastAsia="en-AU"/>
        </w:rPr>
        <w:t>533.1</w:t>
      </w:r>
    </w:p>
    <w:p w:rsidR="004560C6" w:rsidRPr="004560C6" w:rsidRDefault="007C006E" w:rsidP="004560C6">
      <w:pPr>
        <w:spacing w:before="120" w:after="360"/>
        <w:rPr>
          <w:rFonts w:ascii="Arial" w:eastAsia="Times New Roman" w:hAnsi="Arial" w:cs="Arial"/>
          <w:b/>
          <w:sz w:val="40"/>
          <w:szCs w:val="40"/>
          <w:lang w:eastAsia="en-AU"/>
        </w:rPr>
      </w:pPr>
      <w:r w:rsidRPr="004560C6">
        <w:rPr>
          <w:rFonts w:ascii="Arial" w:eastAsia="Times New Roman" w:hAnsi="Arial" w:cs="Arial"/>
          <w:b/>
          <w:sz w:val="40"/>
          <w:szCs w:val="40"/>
          <w:lang w:eastAsia="en-AU"/>
        </w:rPr>
        <w:t>Asset Allocation</w:t>
      </w:r>
      <w:r>
        <w:rPr>
          <w:rFonts w:ascii="Arial" w:eastAsia="Times New Roman" w:hAnsi="Arial" w:cs="Arial"/>
          <w:b/>
          <w:sz w:val="40"/>
          <w:szCs w:val="40"/>
          <w:lang w:eastAsia="en-AU"/>
        </w:rPr>
        <w:t xml:space="preserve"> and Members’ Benefits Flows</w:t>
      </w:r>
    </w:p>
    <w:p w:rsidR="004560C6" w:rsidRPr="004560C6" w:rsidRDefault="004560C6" w:rsidP="004560C6">
      <w:pPr>
        <w:pBdr>
          <w:top w:val="single" w:sz="4" w:space="1" w:color="auto"/>
          <w:left w:val="single" w:sz="4" w:space="4" w:color="auto"/>
          <w:bottom w:val="single" w:sz="4" w:space="1" w:color="auto"/>
          <w:right w:val="single" w:sz="4" w:space="4" w:color="auto"/>
        </w:pBdr>
        <w:shd w:val="clear" w:color="auto" w:fill="D9D9D9"/>
        <w:spacing w:before="120" w:after="360"/>
        <w:jc w:val="both"/>
        <w:rPr>
          <w:rFonts w:ascii="Arial" w:eastAsia="Times" w:hAnsi="Arial" w:cs="Arial"/>
          <w:b/>
          <w:sz w:val="32"/>
          <w:szCs w:val="32"/>
        </w:rPr>
      </w:pPr>
      <w:r w:rsidRPr="004560C6">
        <w:rPr>
          <w:rFonts w:ascii="Arial" w:eastAsia="Times" w:hAnsi="Arial" w:cs="Arial"/>
          <w:b/>
          <w:sz w:val="32"/>
          <w:szCs w:val="32"/>
        </w:rPr>
        <w:t>Objective of this Reporting Standard</w:t>
      </w:r>
    </w:p>
    <w:p w:rsidR="004560C6" w:rsidRPr="004560C6" w:rsidRDefault="004560C6" w:rsidP="004560C6">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sidRPr="004560C6">
        <w:rPr>
          <w:rFonts w:ascii="Times New Roman" w:eastAsia="Times" w:hAnsi="Times New Roman"/>
          <w:sz w:val="24"/>
          <w:szCs w:val="24"/>
        </w:rPr>
        <w:t xml:space="preserve">This Reporting Standard sets out the requirements for the provision of information to APRA relating to the strategic and actual asset allocation </w:t>
      </w:r>
      <w:r w:rsidR="007C006E">
        <w:rPr>
          <w:rFonts w:ascii="Times New Roman" w:eastAsia="Times" w:hAnsi="Times New Roman"/>
          <w:sz w:val="24"/>
          <w:szCs w:val="24"/>
        </w:rPr>
        <w:t xml:space="preserve">and members’ benefits flows </w:t>
      </w:r>
      <w:r w:rsidRPr="004560C6">
        <w:rPr>
          <w:rFonts w:ascii="Times New Roman" w:eastAsia="Times" w:hAnsi="Times New Roman"/>
          <w:sz w:val="24"/>
          <w:szCs w:val="24"/>
        </w:rPr>
        <w:t xml:space="preserve">of a </w:t>
      </w:r>
      <w:r w:rsidR="007C006E">
        <w:rPr>
          <w:rFonts w:ascii="Times New Roman" w:eastAsia="Times" w:hAnsi="Times New Roman"/>
          <w:sz w:val="24"/>
          <w:szCs w:val="24"/>
        </w:rPr>
        <w:t>select investment option</w:t>
      </w:r>
      <w:r w:rsidRPr="004560C6">
        <w:rPr>
          <w:rFonts w:ascii="Times New Roman" w:eastAsia="Times" w:hAnsi="Times New Roman"/>
          <w:sz w:val="24"/>
          <w:szCs w:val="24"/>
        </w:rPr>
        <w:t xml:space="preserve">. </w:t>
      </w:r>
    </w:p>
    <w:p w:rsidR="004560C6" w:rsidRPr="004560C6" w:rsidRDefault="004560C6" w:rsidP="004560C6">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r w:rsidRPr="004560C6">
        <w:rPr>
          <w:rFonts w:ascii="Times New Roman" w:eastAsia="Times" w:hAnsi="Times New Roman"/>
          <w:sz w:val="24"/>
          <w:szCs w:val="24"/>
        </w:rPr>
        <w:t xml:space="preserve">It includes </w:t>
      </w:r>
      <w:r w:rsidRPr="004560C6">
        <w:rPr>
          <w:rFonts w:ascii="Times New Roman" w:eastAsia="Times" w:hAnsi="Times New Roman"/>
          <w:i/>
          <w:sz w:val="24"/>
          <w:szCs w:val="24"/>
        </w:rPr>
        <w:t xml:space="preserve">Form SRF </w:t>
      </w:r>
      <w:r w:rsidR="007C006E">
        <w:rPr>
          <w:rFonts w:ascii="Times New Roman" w:eastAsia="Times" w:hAnsi="Times New Roman"/>
          <w:i/>
          <w:sz w:val="24"/>
          <w:szCs w:val="24"/>
        </w:rPr>
        <w:t>533.1 Asset Allocation and Members’ Benefits Flows</w:t>
      </w:r>
      <w:r w:rsidRPr="004560C6">
        <w:rPr>
          <w:rFonts w:ascii="Times New Roman" w:eastAsia="Times" w:hAnsi="Times New Roman"/>
          <w:i/>
          <w:sz w:val="24"/>
          <w:szCs w:val="24"/>
        </w:rPr>
        <w:t xml:space="preserve"> </w:t>
      </w:r>
      <w:r w:rsidRPr="004560C6">
        <w:rPr>
          <w:rFonts w:ascii="Times New Roman" w:eastAsia="Times" w:hAnsi="Times New Roman"/>
          <w:sz w:val="24"/>
          <w:szCs w:val="24"/>
        </w:rPr>
        <w:t xml:space="preserve">and associated specific instructions and must be read in conjunction with </w:t>
      </w:r>
      <w:r w:rsidRPr="004560C6">
        <w:rPr>
          <w:rFonts w:ascii="Times New Roman" w:eastAsia="Times" w:hAnsi="Times New Roman"/>
          <w:i/>
          <w:sz w:val="24"/>
          <w:szCs w:val="24"/>
        </w:rPr>
        <w:t>Prudential Standard SPS 530 Investment Governance</w:t>
      </w:r>
      <w:r w:rsidRPr="004560C6">
        <w:rPr>
          <w:rFonts w:ascii="Times New Roman" w:eastAsia="Times" w:hAnsi="Times New Roman"/>
          <w:sz w:val="24"/>
          <w:szCs w:val="24"/>
        </w:rPr>
        <w:t>.</w:t>
      </w:r>
    </w:p>
    <w:p w:rsidR="004560C6" w:rsidRPr="004560C6" w:rsidRDefault="004560C6" w:rsidP="004560C6">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p>
    <w:p w:rsidR="004560C6" w:rsidRPr="004560C6" w:rsidRDefault="004560C6" w:rsidP="004560C6">
      <w:pPr>
        <w:keepNext/>
        <w:keepLines/>
        <w:spacing w:before="120" w:after="240"/>
        <w:outlineLvl w:val="2"/>
        <w:rPr>
          <w:rFonts w:ascii="Arial" w:eastAsia="Times New Roman" w:hAnsi="Arial"/>
          <w:b/>
          <w:bCs/>
          <w:sz w:val="24"/>
          <w:szCs w:val="24"/>
          <w:lang w:val="x-none"/>
        </w:rPr>
      </w:pPr>
      <w:bookmarkStart w:id="0" w:name="_Toc256519850"/>
      <w:r w:rsidRPr="004560C6">
        <w:rPr>
          <w:rFonts w:ascii="Arial" w:eastAsia="Times New Roman" w:hAnsi="Arial"/>
          <w:b/>
          <w:bCs/>
          <w:sz w:val="24"/>
          <w:szCs w:val="24"/>
          <w:lang w:val="x-none"/>
        </w:rPr>
        <w:t>Authority</w:t>
      </w:r>
      <w:bookmarkEnd w:id="0"/>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bookmarkStart w:id="1" w:name="_Ref42506849"/>
      <w:r w:rsidRPr="004560C6">
        <w:rPr>
          <w:rFonts w:ascii="Times New Roman" w:eastAsia="Times New Roman" w:hAnsi="Times New Roman"/>
          <w:iCs/>
          <w:sz w:val="24"/>
          <w:szCs w:val="24"/>
          <w:lang w:val="x-none"/>
        </w:rPr>
        <w:t xml:space="preserve">This Reporting Standard is made under section 13 of the </w:t>
      </w:r>
      <w:r w:rsidRPr="004560C6">
        <w:rPr>
          <w:rFonts w:ascii="Times New Roman" w:eastAsia="Times New Roman" w:hAnsi="Times New Roman"/>
          <w:i/>
          <w:iCs/>
          <w:sz w:val="24"/>
          <w:szCs w:val="24"/>
          <w:lang w:val="x-none"/>
        </w:rPr>
        <w:t>Financial Sector (Collection of Data) Act 2001</w:t>
      </w:r>
      <w:r w:rsidRPr="004560C6">
        <w:rPr>
          <w:rFonts w:ascii="Times New Roman" w:eastAsia="Times New Roman" w:hAnsi="Times New Roman"/>
          <w:iCs/>
          <w:sz w:val="24"/>
          <w:szCs w:val="24"/>
          <w:lang w:val="x-none"/>
        </w:rPr>
        <w:t>.</w:t>
      </w:r>
      <w:bookmarkEnd w:id="1"/>
    </w:p>
    <w:p w:rsidR="004560C6" w:rsidRPr="004560C6" w:rsidRDefault="004560C6" w:rsidP="004560C6">
      <w:pPr>
        <w:keepNext/>
        <w:keepLines/>
        <w:spacing w:before="120" w:after="240"/>
        <w:outlineLvl w:val="2"/>
        <w:rPr>
          <w:rFonts w:ascii="Arial" w:eastAsia="Times New Roman" w:hAnsi="Arial"/>
          <w:b/>
          <w:bCs/>
          <w:color w:val="000000"/>
          <w:sz w:val="24"/>
          <w:szCs w:val="24"/>
          <w:lang w:val="x-none"/>
        </w:rPr>
      </w:pPr>
      <w:r w:rsidRPr="004560C6">
        <w:rPr>
          <w:rFonts w:ascii="Arial" w:eastAsia="Times New Roman" w:hAnsi="Arial"/>
          <w:b/>
          <w:bCs/>
          <w:color w:val="000000"/>
          <w:sz w:val="24"/>
          <w:szCs w:val="24"/>
          <w:lang w:val="x-none"/>
        </w:rPr>
        <w:t>Purpose</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Information collected in </w:t>
      </w:r>
      <w:r w:rsidRPr="004560C6">
        <w:rPr>
          <w:rFonts w:ascii="Times New Roman" w:eastAsia="Times New Roman" w:hAnsi="Times New Roman"/>
          <w:i/>
          <w:iCs/>
          <w:sz w:val="24"/>
          <w:szCs w:val="24"/>
          <w:lang w:val="x-none"/>
        </w:rPr>
        <w:t xml:space="preserve">Form SRF </w:t>
      </w:r>
      <w:r w:rsidR="007C006E">
        <w:rPr>
          <w:rFonts w:ascii="Times New Roman" w:eastAsia="Times New Roman" w:hAnsi="Times New Roman"/>
          <w:i/>
          <w:iCs/>
          <w:sz w:val="24"/>
          <w:szCs w:val="24"/>
        </w:rPr>
        <w:t>533.1 Asset Allocation and Members’ Benefits Flows</w:t>
      </w:r>
      <w:r w:rsidRPr="004560C6">
        <w:rPr>
          <w:rFonts w:ascii="Times New Roman" w:eastAsia="Times New Roman" w:hAnsi="Times New Roman"/>
          <w:iCs/>
          <w:sz w:val="24"/>
          <w:szCs w:val="24"/>
        </w:rPr>
        <w:t xml:space="preserve"> </w:t>
      </w:r>
      <w:r w:rsidRPr="004560C6">
        <w:rPr>
          <w:rFonts w:ascii="Times New Roman" w:eastAsia="Times New Roman" w:hAnsi="Times New Roman"/>
          <w:iCs/>
          <w:sz w:val="24"/>
          <w:szCs w:val="24"/>
          <w:lang w:val="x-none"/>
        </w:rPr>
        <w:t xml:space="preserve">(SRF </w:t>
      </w:r>
      <w:r w:rsidR="007C006E">
        <w:rPr>
          <w:rFonts w:ascii="Times New Roman" w:eastAsia="Times New Roman" w:hAnsi="Times New Roman"/>
          <w:iCs/>
          <w:sz w:val="24"/>
          <w:szCs w:val="24"/>
        </w:rPr>
        <w:t>533.1</w:t>
      </w:r>
      <w:r w:rsidRPr="004560C6">
        <w:rPr>
          <w:rFonts w:ascii="Times New Roman" w:eastAsia="Times New Roman" w:hAnsi="Times New Roman"/>
          <w:iCs/>
          <w:sz w:val="24"/>
          <w:szCs w:val="24"/>
          <w:lang w:val="x-none"/>
        </w:rPr>
        <w:t>) is used by APRA for the purpose</w:t>
      </w:r>
      <w:r w:rsidRPr="004560C6">
        <w:rPr>
          <w:rFonts w:ascii="Times New Roman" w:eastAsia="Times New Roman" w:hAnsi="Times New Roman"/>
          <w:iCs/>
          <w:sz w:val="24"/>
          <w:szCs w:val="24"/>
        </w:rPr>
        <w:t>s</w:t>
      </w:r>
      <w:r w:rsidRPr="004560C6">
        <w:rPr>
          <w:rFonts w:ascii="Times New Roman" w:eastAsia="Times New Roman" w:hAnsi="Times New Roman"/>
          <w:iCs/>
          <w:sz w:val="24"/>
          <w:szCs w:val="24"/>
          <w:lang w:val="x-none"/>
        </w:rPr>
        <w:t xml:space="preserve"> of </w:t>
      </w:r>
      <w:r w:rsidRPr="004560C6">
        <w:rPr>
          <w:rFonts w:ascii="Times New Roman" w:eastAsia="Times New Roman" w:hAnsi="Times New Roman"/>
          <w:iCs/>
          <w:sz w:val="24"/>
          <w:szCs w:val="24"/>
        </w:rPr>
        <w:t xml:space="preserve">prudential supervision and publication, including assessing compliance with </w:t>
      </w:r>
      <w:r w:rsidRPr="004560C6">
        <w:rPr>
          <w:rFonts w:ascii="Times New Roman" w:eastAsia="Times New Roman" w:hAnsi="Times New Roman"/>
          <w:i/>
          <w:iCs/>
          <w:sz w:val="24"/>
          <w:szCs w:val="24"/>
        </w:rPr>
        <w:t>Prudential Standard SPS 530 Investment Governance</w:t>
      </w:r>
      <w:r w:rsidRPr="004560C6">
        <w:rPr>
          <w:rFonts w:ascii="Times New Roman" w:eastAsia="Times New Roman" w:hAnsi="Times New Roman"/>
          <w:iCs/>
          <w:sz w:val="24"/>
          <w:szCs w:val="24"/>
        </w:rPr>
        <w:t>. It may also be used by the Australian Bureau of Statistics.</w:t>
      </w:r>
    </w:p>
    <w:p w:rsidR="004560C6" w:rsidRPr="004560C6" w:rsidRDefault="004560C6" w:rsidP="004560C6">
      <w:pPr>
        <w:keepNext/>
        <w:keepLines/>
        <w:spacing w:before="120" w:after="240"/>
        <w:outlineLvl w:val="2"/>
        <w:rPr>
          <w:rFonts w:ascii="Arial" w:eastAsia="Times New Roman" w:hAnsi="Arial"/>
          <w:b/>
          <w:bCs/>
          <w:color w:val="000000"/>
          <w:sz w:val="24"/>
          <w:szCs w:val="24"/>
          <w:lang w:val="x-none"/>
        </w:rPr>
      </w:pPr>
      <w:r w:rsidRPr="004560C6">
        <w:rPr>
          <w:rFonts w:ascii="Arial" w:eastAsia="Times New Roman" w:hAnsi="Arial"/>
          <w:b/>
          <w:bCs/>
          <w:color w:val="000000"/>
          <w:sz w:val="24"/>
          <w:szCs w:val="24"/>
          <w:lang w:val="x-none"/>
        </w:rPr>
        <w:t>Application and commencement</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This Reporting Standard applies to </w:t>
      </w:r>
      <w:r w:rsidRPr="004560C6">
        <w:rPr>
          <w:rFonts w:ascii="Times New Roman" w:eastAsia="Times New Roman" w:hAnsi="Times New Roman"/>
          <w:iCs/>
          <w:sz w:val="24"/>
          <w:szCs w:val="24"/>
        </w:rPr>
        <w:t>each</w:t>
      </w:r>
      <w:r w:rsidRPr="004560C6">
        <w:rPr>
          <w:rFonts w:ascii="Times New Roman" w:eastAsia="Times New Roman" w:hAnsi="Times New Roman"/>
          <w:iCs/>
          <w:sz w:val="24"/>
          <w:szCs w:val="24"/>
          <w:lang w:val="x-none"/>
        </w:rPr>
        <w:t xml:space="preserve"> registrable superannuation entity (RSE) licensee (RSE licensee) with respect to each </w:t>
      </w:r>
      <w:r w:rsidR="007C006E">
        <w:rPr>
          <w:rFonts w:ascii="Times New Roman" w:eastAsia="Times New Roman" w:hAnsi="Times New Roman"/>
          <w:iCs/>
          <w:sz w:val="24"/>
          <w:szCs w:val="24"/>
        </w:rPr>
        <w:t>select investment option</w:t>
      </w:r>
      <w:r w:rsidR="009225C0">
        <w:rPr>
          <w:rFonts w:ascii="Times New Roman" w:eastAsia="Times New Roman" w:hAnsi="Times New Roman"/>
          <w:iCs/>
          <w:sz w:val="24"/>
          <w:szCs w:val="24"/>
        </w:rPr>
        <w:t xml:space="preserve"> within its business operations</w:t>
      </w:r>
      <w:r w:rsidRPr="004560C6">
        <w:rPr>
          <w:rFonts w:ascii="Times New Roman" w:eastAsia="Times New Roman" w:hAnsi="Times New Roman"/>
          <w:iCs/>
          <w:sz w:val="24"/>
          <w:szCs w:val="24"/>
        </w:rPr>
        <w:t>.</w:t>
      </w:r>
      <w:r w:rsidRPr="004560C6">
        <w:rPr>
          <w:rFonts w:ascii="Times New Roman" w:eastAsia="Times New Roman" w:hAnsi="Times New Roman"/>
          <w:iCs/>
          <w:sz w:val="24"/>
          <w:vertAlign w:val="superscript"/>
          <w:lang w:val="x-none"/>
        </w:rPr>
        <w:footnoteReference w:id="2"/>
      </w:r>
    </w:p>
    <w:p w:rsidR="004560C6" w:rsidRPr="00F4321B" w:rsidRDefault="004560C6" w:rsidP="009D6C1F">
      <w:pPr>
        <w:numPr>
          <w:ilvl w:val="0"/>
          <w:numId w:val="14"/>
        </w:numPr>
        <w:spacing w:before="240" w:after="240"/>
        <w:jc w:val="both"/>
        <w:rPr>
          <w:rFonts w:ascii="Times New Roman" w:eastAsia="Times New Roman" w:hAnsi="Times New Roman"/>
          <w:iCs/>
          <w:sz w:val="24"/>
          <w:szCs w:val="24"/>
          <w:lang w:val="x-none"/>
        </w:rPr>
      </w:pPr>
      <w:r w:rsidRPr="00F4321B">
        <w:rPr>
          <w:rFonts w:ascii="Times New Roman" w:eastAsia="Times New Roman" w:hAnsi="Times New Roman"/>
          <w:iCs/>
          <w:sz w:val="24"/>
          <w:szCs w:val="24"/>
          <w:lang w:val="x-none"/>
        </w:rPr>
        <w:lastRenderedPageBreak/>
        <w:t>This Reporting Standard applies</w:t>
      </w:r>
      <w:r w:rsidR="005474BE" w:rsidRPr="00F4321B">
        <w:rPr>
          <w:rFonts w:ascii="Times New Roman" w:eastAsia="Times New Roman" w:hAnsi="Times New Roman"/>
          <w:iCs/>
          <w:sz w:val="24"/>
          <w:szCs w:val="24"/>
        </w:rPr>
        <w:t xml:space="preserve"> </w:t>
      </w:r>
      <w:r w:rsidRPr="00F4321B">
        <w:rPr>
          <w:rFonts w:ascii="Times New Roman" w:eastAsia="Times New Roman" w:hAnsi="Times New Roman"/>
          <w:iCs/>
          <w:sz w:val="24"/>
          <w:szCs w:val="24"/>
          <w:lang w:val="x-none"/>
        </w:rPr>
        <w:t xml:space="preserve">for </w:t>
      </w:r>
      <w:r w:rsidRPr="00F4321B">
        <w:rPr>
          <w:rFonts w:ascii="Times New Roman" w:eastAsia="Times New Roman" w:hAnsi="Times New Roman"/>
          <w:iCs/>
          <w:sz w:val="24"/>
          <w:szCs w:val="24"/>
        </w:rPr>
        <w:t>reporting</w:t>
      </w:r>
      <w:r w:rsidRPr="00F4321B">
        <w:rPr>
          <w:rFonts w:ascii="Times New Roman" w:eastAsia="Times New Roman" w:hAnsi="Times New Roman"/>
          <w:iCs/>
          <w:sz w:val="24"/>
          <w:szCs w:val="24"/>
          <w:lang w:val="x-none"/>
        </w:rPr>
        <w:t xml:space="preserve"> periods ending on or after </w:t>
      </w:r>
      <w:r w:rsidR="007C006E">
        <w:rPr>
          <w:rFonts w:ascii="Times New Roman" w:eastAsia="Times New Roman" w:hAnsi="Times New Roman"/>
          <w:iCs/>
          <w:sz w:val="24"/>
          <w:szCs w:val="24"/>
        </w:rPr>
        <w:t>1 July 2015</w:t>
      </w:r>
      <w:r w:rsidRPr="00F4321B">
        <w:rPr>
          <w:rFonts w:ascii="Times New Roman" w:eastAsia="Times New Roman" w:hAnsi="Times New Roman"/>
          <w:iCs/>
          <w:sz w:val="24"/>
          <w:szCs w:val="24"/>
        </w:rPr>
        <w:t xml:space="preserve">. </w:t>
      </w:r>
    </w:p>
    <w:p w:rsidR="004560C6" w:rsidRPr="004560C6" w:rsidRDefault="004560C6" w:rsidP="004560C6">
      <w:pPr>
        <w:keepNext/>
        <w:keepLines/>
        <w:spacing w:before="120" w:after="240"/>
        <w:outlineLvl w:val="2"/>
        <w:rPr>
          <w:rFonts w:ascii="Arial" w:eastAsia="Times New Roman" w:hAnsi="Arial"/>
          <w:b/>
          <w:bCs/>
          <w:sz w:val="24"/>
          <w:szCs w:val="24"/>
          <w:lang w:val="x-none"/>
        </w:rPr>
      </w:pPr>
      <w:bookmarkStart w:id="2" w:name="_Toc256519851"/>
      <w:r w:rsidRPr="004560C6">
        <w:rPr>
          <w:rFonts w:ascii="Arial" w:eastAsia="Times New Roman" w:hAnsi="Arial"/>
          <w:b/>
          <w:bCs/>
          <w:sz w:val="24"/>
          <w:szCs w:val="24"/>
          <w:lang w:val="x-none"/>
        </w:rPr>
        <w:t>Information required</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An RSE licensee to which this Reporting Standard applies must provide APRA with the information required by SRF </w:t>
      </w:r>
      <w:r w:rsidR="007C006E">
        <w:rPr>
          <w:rFonts w:ascii="Times New Roman" w:eastAsia="Times New Roman" w:hAnsi="Times New Roman"/>
          <w:iCs/>
          <w:sz w:val="24"/>
          <w:szCs w:val="24"/>
        </w:rPr>
        <w:t>533.1</w:t>
      </w:r>
      <w:r w:rsidRPr="004560C6">
        <w:rPr>
          <w:rFonts w:ascii="Times New Roman" w:eastAsia="Times New Roman" w:hAnsi="Times New Roman"/>
          <w:iCs/>
          <w:sz w:val="24"/>
          <w:szCs w:val="24"/>
          <w:lang w:val="x-none"/>
        </w:rPr>
        <w:t xml:space="preserve"> </w:t>
      </w:r>
      <w:r w:rsidRPr="004560C6">
        <w:rPr>
          <w:rFonts w:ascii="Times New Roman" w:eastAsia="Times New Roman" w:hAnsi="Times New Roman"/>
          <w:iCs/>
          <w:sz w:val="24"/>
          <w:szCs w:val="24"/>
        </w:rPr>
        <w:t xml:space="preserve">in respect of </w:t>
      </w:r>
      <w:r w:rsidRPr="004560C6">
        <w:rPr>
          <w:rFonts w:ascii="Times New Roman" w:eastAsia="Times New Roman" w:hAnsi="Times New Roman"/>
          <w:iCs/>
          <w:sz w:val="24"/>
          <w:szCs w:val="24"/>
          <w:lang w:val="x-none"/>
        </w:rPr>
        <w:t>each reporting period.</w:t>
      </w:r>
    </w:p>
    <w:p w:rsidR="004560C6" w:rsidRPr="004560C6" w:rsidRDefault="004560C6" w:rsidP="004560C6">
      <w:pPr>
        <w:keepNext/>
        <w:keepLines/>
        <w:spacing w:before="120" w:after="240"/>
        <w:outlineLvl w:val="2"/>
        <w:rPr>
          <w:rFonts w:ascii="Arial" w:eastAsia="Times New Roman" w:hAnsi="Arial"/>
          <w:b/>
          <w:bCs/>
          <w:color w:val="000000"/>
          <w:sz w:val="24"/>
          <w:szCs w:val="24"/>
          <w:lang w:val="x-none"/>
        </w:rPr>
      </w:pPr>
      <w:r w:rsidRPr="004560C6">
        <w:rPr>
          <w:rFonts w:ascii="Arial" w:eastAsia="Times New Roman" w:hAnsi="Arial"/>
          <w:b/>
          <w:bCs/>
          <w:color w:val="000000"/>
          <w:sz w:val="24"/>
          <w:szCs w:val="24"/>
          <w:lang w:val="x-none"/>
        </w:rPr>
        <w:t>Forms and method of submission</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The information required by this Reporting Standard must be given to APRA in electronic format using the ‘Direct to APRA’ application or, where ‘Direct to APRA’ is not available, by a method notified by APRA</w:t>
      </w:r>
      <w:r w:rsidRPr="004560C6">
        <w:rPr>
          <w:rFonts w:ascii="Times New Roman" w:eastAsia="Times New Roman" w:hAnsi="Times New Roman"/>
          <w:iCs/>
          <w:sz w:val="24"/>
          <w:szCs w:val="24"/>
        </w:rPr>
        <w:t>, in writing,</w:t>
      </w:r>
      <w:r w:rsidRPr="004560C6">
        <w:rPr>
          <w:rFonts w:ascii="Times New Roman" w:eastAsia="Times New Roman" w:hAnsi="Times New Roman"/>
          <w:iCs/>
          <w:sz w:val="24"/>
          <w:szCs w:val="24"/>
          <w:lang w:val="x-none"/>
        </w:rPr>
        <w:t xml:space="preserve"> prior to submission.</w:t>
      </w:r>
    </w:p>
    <w:p w:rsidR="004560C6" w:rsidRPr="004560C6" w:rsidRDefault="004560C6" w:rsidP="004560C6">
      <w:pPr>
        <w:spacing w:after="240"/>
        <w:ind w:left="567"/>
        <w:jc w:val="both"/>
        <w:rPr>
          <w:rFonts w:ascii="Times New Roman" w:eastAsia="Times New Roman" w:hAnsi="Times New Roman"/>
          <w:iCs/>
          <w:sz w:val="20"/>
          <w:szCs w:val="20"/>
          <w:lang w:val="x-none"/>
        </w:rPr>
      </w:pPr>
      <w:r w:rsidRPr="004560C6">
        <w:rPr>
          <w:rFonts w:ascii="Times New Roman" w:eastAsia="Times New Roman" w:hAnsi="Times New Roman"/>
          <w:i/>
          <w:iCs/>
          <w:sz w:val="20"/>
          <w:szCs w:val="20"/>
          <w:lang w:val="x-none"/>
        </w:rPr>
        <w:t>Note</w:t>
      </w:r>
      <w:r w:rsidRPr="004560C6">
        <w:rPr>
          <w:rFonts w:ascii="Times New Roman" w:eastAsia="Times New Roman" w:hAnsi="Times New Roman"/>
          <w:iCs/>
          <w:sz w:val="20"/>
          <w:szCs w:val="20"/>
          <w:lang w:val="x-none"/>
        </w:rPr>
        <w:t xml:space="preserve">: the ‘Direct to APRA’ application software </w:t>
      </w:r>
      <w:r w:rsidR="004621AC" w:rsidRPr="004621AC">
        <w:rPr>
          <w:rFonts w:ascii="Times New Roman" w:eastAsia="Times New Roman" w:hAnsi="Times New Roman"/>
          <w:iCs/>
          <w:sz w:val="20"/>
          <w:szCs w:val="20"/>
          <w:lang w:val="x-none"/>
        </w:rPr>
        <w:t xml:space="preserve">(also known as ‘D2A’) </w:t>
      </w:r>
      <w:r w:rsidRPr="004560C6">
        <w:rPr>
          <w:rFonts w:ascii="Times New Roman" w:eastAsia="Times New Roman" w:hAnsi="Times New Roman"/>
          <w:iCs/>
          <w:sz w:val="20"/>
          <w:szCs w:val="20"/>
          <w:lang w:val="x-none"/>
        </w:rPr>
        <w:t>may be obtained from APRA.</w:t>
      </w:r>
    </w:p>
    <w:p w:rsidR="004560C6" w:rsidRPr="004560C6" w:rsidRDefault="004560C6" w:rsidP="004560C6">
      <w:pPr>
        <w:keepNext/>
        <w:keepLines/>
        <w:spacing w:before="120" w:after="240"/>
        <w:outlineLvl w:val="2"/>
        <w:rPr>
          <w:rFonts w:ascii="Arial" w:eastAsia="Times New Roman" w:hAnsi="Arial"/>
          <w:b/>
          <w:bCs/>
          <w:color w:val="000000"/>
          <w:sz w:val="24"/>
          <w:szCs w:val="24"/>
          <w:lang w:val="x-none"/>
        </w:rPr>
      </w:pPr>
      <w:r w:rsidRPr="004560C6">
        <w:rPr>
          <w:rFonts w:ascii="Arial" w:eastAsia="Times New Roman" w:hAnsi="Arial"/>
          <w:b/>
          <w:bCs/>
          <w:color w:val="000000"/>
          <w:sz w:val="24"/>
          <w:szCs w:val="24"/>
          <w:lang w:val="x-none"/>
        </w:rPr>
        <w:t>Reporting periods and due dates</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bookmarkStart w:id="3" w:name="_Ref351569274"/>
      <w:bookmarkStart w:id="4" w:name="_Ref349587044"/>
      <w:r w:rsidRPr="004560C6">
        <w:rPr>
          <w:rFonts w:ascii="Times New Roman" w:eastAsia="Times New Roman" w:hAnsi="Times New Roman"/>
          <w:iCs/>
          <w:sz w:val="24"/>
          <w:szCs w:val="24"/>
          <w:lang w:val="x-none"/>
        </w:rPr>
        <w:t xml:space="preserve">Subject to paragraph </w:t>
      </w:r>
      <w:r w:rsidRPr="00A54FBB">
        <w:rPr>
          <w:rFonts w:ascii="Times New Roman" w:eastAsia="Times New Roman" w:hAnsi="Times New Roman"/>
          <w:iCs/>
          <w:sz w:val="24"/>
          <w:szCs w:val="24"/>
          <w:lang w:val="x-none"/>
        </w:rPr>
        <w:fldChar w:fldCharType="begin"/>
      </w:r>
      <w:r w:rsidRPr="00A54FBB">
        <w:rPr>
          <w:rFonts w:ascii="Times New Roman" w:eastAsia="Times New Roman" w:hAnsi="Times New Roman"/>
          <w:iCs/>
          <w:sz w:val="24"/>
          <w:szCs w:val="24"/>
          <w:lang w:val="x-none"/>
        </w:rPr>
        <w:instrText xml:space="preserve"> REF _Ref349587267 \r \h </w:instrText>
      </w:r>
      <w:r w:rsidR="00A54FBB">
        <w:rPr>
          <w:rFonts w:ascii="Times New Roman" w:eastAsia="Times New Roman" w:hAnsi="Times New Roman"/>
          <w:iCs/>
          <w:sz w:val="24"/>
          <w:szCs w:val="24"/>
          <w:lang w:val="x-none"/>
        </w:rPr>
        <w:instrText xml:space="preserve"> \* MERGEFORMAT </w:instrText>
      </w:r>
      <w:r w:rsidRPr="00A54FBB">
        <w:rPr>
          <w:rFonts w:ascii="Times New Roman" w:eastAsia="Times New Roman" w:hAnsi="Times New Roman"/>
          <w:iCs/>
          <w:sz w:val="24"/>
          <w:szCs w:val="24"/>
          <w:lang w:val="x-none"/>
        </w:rPr>
      </w:r>
      <w:r w:rsidRPr="00A54FBB">
        <w:rPr>
          <w:rFonts w:ascii="Times New Roman" w:eastAsia="Times New Roman" w:hAnsi="Times New Roman"/>
          <w:iCs/>
          <w:sz w:val="24"/>
          <w:szCs w:val="24"/>
          <w:lang w:val="x-none"/>
        </w:rPr>
        <w:fldChar w:fldCharType="separate"/>
      </w:r>
      <w:r w:rsidR="005220B4" w:rsidRPr="00A54FBB">
        <w:rPr>
          <w:rFonts w:ascii="Times New Roman" w:eastAsia="Times New Roman" w:hAnsi="Times New Roman"/>
          <w:iCs/>
          <w:sz w:val="24"/>
          <w:szCs w:val="24"/>
          <w:lang w:val="x-none"/>
        </w:rPr>
        <w:t>8</w:t>
      </w:r>
      <w:r w:rsidRPr="00A54FBB">
        <w:rPr>
          <w:rFonts w:ascii="Times New Roman" w:eastAsia="Times New Roman" w:hAnsi="Times New Roman"/>
          <w:iCs/>
          <w:sz w:val="24"/>
          <w:szCs w:val="24"/>
          <w:lang w:val="x-none"/>
        </w:rPr>
        <w:fldChar w:fldCharType="end"/>
      </w:r>
      <w:r w:rsidRPr="004560C6">
        <w:rPr>
          <w:rFonts w:ascii="Times New Roman" w:eastAsia="Times New Roman" w:hAnsi="Times New Roman"/>
          <w:iCs/>
          <w:sz w:val="24"/>
          <w:szCs w:val="24"/>
          <w:lang w:val="x-none"/>
        </w:rPr>
        <w:t>, an RSE licensee to which this Reporting Standard applies must provide the information required by this Reporting Standard in respect of</w:t>
      </w:r>
      <w:r w:rsidRPr="004560C6">
        <w:rPr>
          <w:rFonts w:ascii="Times New Roman" w:eastAsia="Times New Roman" w:hAnsi="Times New Roman"/>
          <w:iCs/>
          <w:sz w:val="24"/>
          <w:szCs w:val="24"/>
        </w:rPr>
        <w:t xml:space="preserve"> each </w:t>
      </w:r>
      <w:r w:rsidR="007C006E">
        <w:rPr>
          <w:rFonts w:ascii="Times New Roman" w:eastAsia="Times New Roman" w:hAnsi="Times New Roman"/>
          <w:iCs/>
          <w:sz w:val="24"/>
          <w:szCs w:val="24"/>
        </w:rPr>
        <w:t>s</w:t>
      </w:r>
      <w:r w:rsidR="007C006E">
        <w:rPr>
          <w:rFonts w:ascii="Times New Roman" w:eastAsia="Times New Roman" w:hAnsi="Times New Roman"/>
          <w:iCs/>
          <w:sz w:val="24"/>
          <w:szCs w:val="24"/>
          <w:lang w:val="x-none"/>
        </w:rPr>
        <w:t>elect investment option</w:t>
      </w:r>
      <w:r w:rsidRPr="004560C6">
        <w:rPr>
          <w:rFonts w:ascii="Times New Roman" w:eastAsia="Times New Roman" w:hAnsi="Times New Roman"/>
          <w:iCs/>
          <w:sz w:val="24"/>
          <w:szCs w:val="24"/>
        </w:rPr>
        <w:t xml:space="preserve"> within its business operations (the option)</w:t>
      </w:r>
      <w:r w:rsidRPr="004560C6">
        <w:rPr>
          <w:rFonts w:ascii="Times New Roman" w:eastAsia="Times New Roman" w:hAnsi="Times New Roman"/>
          <w:iCs/>
          <w:sz w:val="24"/>
          <w:szCs w:val="24"/>
          <w:lang w:val="x-none"/>
        </w:rPr>
        <w:t>:</w:t>
      </w:r>
      <w:bookmarkEnd w:id="3"/>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each quarter based on the year of income of </w:t>
      </w:r>
      <w:r w:rsidR="001C58AF">
        <w:rPr>
          <w:rFonts w:ascii="Times New Roman" w:eastAsia="Times New Roman" w:hAnsi="Times New Roman"/>
          <w:iCs/>
          <w:sz w:val="24"/>
          <w:szCs w:val="24"/>
        </w:rPr>
        <w:t>each</w:t>
      </w:r>
      <w:r w:rsidRPr="004560C6">
        <w:rPr>
          <w:rFonts w:ascii="Times New Roman" w:eastAsia="Times New Roman" w:hAnsi="Times New Roman"/>
          <w:iCs/>
          <w:sz w:val="24"/>
          <w:szCs w:val="24"/>
          <w:lang w:val="x-none"/>
        </w:rPr>
        <w:t xml:space="preserve"> RSE within which </w:t>
      </w:r>
      <w:r w:rsidR="001C58AF">
        <w:rPr>
          <w:rFonts w:ascii="Times New Roman" w:eastAsia="Times New Roman" w:hAnsi="Times New Roman"/>
          <w:iCs/>
          <w:sz w:val="24"/>
          <w:szCs w:val="24"/>
        </w:rPr>
        <w:t>an</w:t>
      </w:r>
      <w:r w:rsidRPr="004560C6">
        <w:rPr>
          <w:rFonts w:ascii="Times New Roman" w:eastAsia="Times New Roman" w:hAnsi="Times New Roman"/>
          <w:iCs/>
          <w:sz w:val="24"/>
          <w:szCs w:val="24"/>
        </w:rPr>
        <w:t xml:space="preserve"> option is located</w:t>
      </w:r>
      <w:r w:rsidRPr="004560C6">
        <w:rPr>
          <w:rFonts w:ascii="Times New Roman" w:eastAsia="Times New Roman" w:hAnsi="Times New Roman"/>
          <w:iCs/>
          <w:sz w:val="24"/>
          <w:szCs w:val="24"/>
          <w:lang w:val="x-none"/>
        </w:rPr>
        <w:t>;</w:t>
      </w:r>
      <w:r w:rsidRPr="004560C6">
        <w:rPr>
          <w:rFonts w:ascii="Times New Roman" w:eastAsia="Times New Roman" w:hAnsi="Times New Roman"/>
          <w:iCs/>
          <w:sz w:val="24"/>
          <w:szCs w:val="24"/>
        </w:rPr>
        <w:t xml:space="preserve"> and</w:t>
      </w:r>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each year of income of </w:t>
      </w:r>
      <w:r w:rsidR="001C58AF">
        <w:rPr>
          <w:rFonts w:ascii="Times New Roman" w:eastAsia="Times New Roman" w:hAnsi="Times New Roman"/>
          <w:iCs/>
          <w:sz w:val="24"/>
          <w:szCs w:val="24"/>
        </w:rPr>
        <w:t>each</w:t>
      </w:r>
      <w:r w:rsidRPr="004560C6">
        <w:rPr>
          <w:rFonts w:ascii="Times New Roman" w:eastAsia="Times New Roman" w:hAnsi="Times New Roman"/>
          <w:iCs/>
          <w:sz w:val="24"/>
          <w:szCs w:val="24"/>
          <w:lang w:val="x-none"/>
        </w:rPr>
        <w:t xml:space="preserve"> RSE within which </w:t>
      </w:r>
      <w:r w:rsidR="001C58AF">
        <w:rPr>
          <w:rFonts w:ascii="Times New Roman" w:eastAsia="Times New Roman" w:hAnsi="Times New Roman"/>
          <w:iCs/>
          <w:sz w:val="24"/>
          <w:szCs w:val="24"/>
        </w:rPr>
        <w:t xml:space="preserve">an </w:t>
      </w:r>
      <w:r w:rsidRPr="004560C6">
        <w:rPr>
          <w:rFonts w:ascii="Times New Roman" w:eastAsia="Times New Roman" w:hAnsi="Times New Roman"/>
          <w:iCs/>
          <w:sz w:val="24"/>
          <w:szCs w:val="24"/>
        </w:rPr>
        <w:t>option is located</w:t>
      </w:r>
      <w:r w:rsidRPr="004560C6">
        <w:rPr>
          <w:rFonts w:ascii="Times New Roman" w:eastAsia="Times New Roman" w:hAnsi="Times New Roman"/>
          <w:iCs/>
          <w:sz w:val="24"/>
          <w:szCs w:val="24"/>
          <w:lang w:val="x-none"/>
        </w:rPr>
        <w:t>.</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bookmarkStart w:id="5" w:name="_Ref349587267"/>
      <w:bookmarkEnd w:id="4"/>
      <w:r w:rsidRPr="004560C6">
        <w:rPr>
          <w:rFonts w:ascii="Times New Roman" w:eastAsia="Times New Roman" w:hAnsi="Times New Roman"/>
          <w:iCs/>
          <w:sz w:val="24"/>
          <w:szCs w:val="24"/>
          <w:lang w:val="x-none"/>
        </w:rPr>
        <w:t xml:space="preserve">If, having regard to the particular circumstances of </w:t>
      </w:r>
      <w:r w:rsidRPr="004560C6">
        <w:rPr>
          <w:rFonts w:ascii="Times New Roman" w:eastAsia="Times New Roman" w:hAnsi="Times New Roman"/>
          <w:iCs/>
          <w:sz w:val="24"/>
          <w:szCs w:val="24"/>
        </w:rPr>
        <w:t xml:space="preserve">a </w:t>
      </w:r>
      <w:r w:rsidR="007C006E">
        <w:rPr>
          <w:rFonts w:ascii="Times New Roman" w:eastAsia="Times New Roman" w:hAnsi="Times New Roman"/>
          <w:iCs/>
          <w:sz w:val="24"/>
          <w:szCs w:val="24"/>
        </w:rPr>
        <w:t>select investment option</w:t>
      </w:r>
      <w:r w:rsidRPr="004560C6">
        <w:rPr>
          <w:rFonts w:ascii="Times New Roman" w:eastAsia="Times New Roman" w:hAnsi="Times New Roman"/>
          <w:iCs/>
          <w:sz w:val="24"/>
          <w:szCs w:val="24"/>
          <w:lang w:val="x-none"/>
        </w:rPr>
        <w:t xml:space="preserve">, APRA considers it necessary or desirable to obtain information more or less frequently than as provided by paragraph </w:t>
      </w:r>
      <w:r w:rsidRPr="004560C6">
        <w:rPr>
          <w:rFonts w:ascii="Times New Roman" w:eastAsia="Times New Roman" w:hAnsi="Times New Roman"/>
          <w:iCs/>
          <w:sz w:val="24"/>
          <w:szCs w:val="24"/>
          <w:lang w:val="x-none"/>
        </w:rPr>
        <w:fldChar w:fldCharType="begin"/>
      </w:r>
      <w:r w:rsidRPr="004560C6">
        <w:rPr>
          <w:rFonts w:ascii="Times New Roman" w:eastAsia="Times New Roman" w:hAnsi="Times New Roman"/>
          <w:iCs/>
          <w:sz w:val="24"/>
          <w:szCs w:val="24"/>
          <w:lang w:val="x-none"/>
        </w:rPr>
        <w:instrText xml:space="preserve"> REF _Ref349587044 \r \h </w:instrText>
      </w:r>
      <w:r w:rsidRPr="004560C6">
        <w:rPr>
          <w:rFonts w:ascii="Times New Roman" w:eastAsia="Times New Roman" w:hAnsi="Times New Roman"/>
          <w:iCs/>
          <w:sz w:val="24"/>
          <w:szCs w:val="24"/>
          <w:lang w:val="x-none"/>
        </w:rPr>
      </w:r>
      <w:r w:rsidRPr="004560C6">
        <w:rPr>
          <w:rFonts w:ascii="Times New Roman" w:eastAsia="Times New Roman" w:hAnsi="Times New Roman"/>
          <w:iCs/>
          <w:sz w:val="24"/>
          <w:szCs w:val="24"/>
          <w:lang w:val="x-none"/>
        </w:rPr>
        <w:fldChar w:fldCharType="separate"/>
      </w:r>
      <w:r w:rsidR="005220B4">
        <w:rPr>
          <w:rFonts w:ascii="Times New Roman" w:eastAsia="Times New Roman" w:hAnsi="Times New Roman"/>
          <w:iCs/>
          <w:sz w:val="24"/>
          <w:szCs w:val="24"/>
          <w:lang w:val="x-none"/>
        </w:rPr>
        <w:t>7</w:t>
      </w:r>
      <w:r w:rsidRPr="004560C6">
        <w:rPr>
          <w:rFonts w:ascii="Times New Roman" w:eastAsia="Times New Roman" w:hAnsi="Times New Roman"/>
          <w:iCs/>
          <w:sz w:val="24"/>
          <w:szCs w:val="24"/>
          <w:lang w:val="x-none"/>
        </w:rPr>
        <w:fldChar w:fldCharType="end"/>
      </w:r>
      <w:r w:rsidRPr="004560C6">
        <w:rPr>
          <w:rFonts w:ascii="Times New Roman" w:eastAsia="Times New Roman" w:hAnsi="Times New Roman"/>
          <w:iCs/>
          <w:sz w:val="24"/>
          <w:szCs w:val="24"/>
          <w:lang w:val="x-none"/>
        </w:rPr>
        <w:t xml:space="preserve">(a) or </w:t>
      </w:r>
      <w:r w:rsidRPr="004560C6">
        <w:rPr>
          <w:rFonts w:ascii="Times New Roman" w:eastAsia="Times New Roman" w:hAnsi="Times New Roman"/>
          <w:iCs/>
          <w:sz w:val="24"/>
          <w:szCs w:val="24"/>
          <w:lang w:val="x-none"/>
        </w:rPr>
        <w:fldChar w:fldCharType="begin"/>
      </w:r>
      <w:r w:rsidRPr="004560C6">
        <w:rPr>
          <w:rFonts w:ascii="Times New Roman" w:eastAsia="Times New Roman" w:hAnsi="Times New Roman"/>
          <w:iCs/>
          <w:sz w:val="24"/>
          <w:szCs w:val="24"/>
          <w:lang w:val="x-none"/>
        </w:rPr>
        <w:instrText xml:space="preserve"> REF _Ref349587044 \r \h </w:instrText>
      </w:r>
      <w:r w:rsidRPr="004560C6">
        <w:rPr>
          <w:rFonts w:ascii="Times New Roman" w:eastAsia="Times New Roman" w:hAnsi="Times New Roman"/>
          <w:iCs/>
          <w:sz w:val="24"/>
          <w:szCs w:val="24"/>
          <w:lang w:val="x-none"/>
        </w:rPr>
      </w:r>
      <w:r w:rsidRPr="004560C6">
        <w:rPr>
          <w:rFonts w:ascii="Times New Roman" w:eastAsia="Times New Roman" w:hAnsi="Times New Roman"/>
          <w:iCs/>
          <w:sz w:val="24"/>
          <w:szCs w:val="24"/>
          <w:lang w:val="x-none"/>
        </w:rPr>
        <w:fldChar w:fldCharType="separate"/>
      </w:r>
      <w:r w:rsidR="005220B4">
        <w:rPr>
          <w:rFonts w:ascii="Times New Roman" w:eastAsia="Times New Roman" w:hAnsi="Times New Roman"/>
          <w:iCs/>
          <w:sz w:val="24"/>
          <w:szCs w:val="24"/>
          <w:lang w:val="x-none"/>
        </w:rPr>
        <w:t>7</w:t>
      </w:r>
      <w:r w:rsidRPr="004560C6">
        <w:rPr>
          <w:rFonts w:ascii="Times New Roman" w:eastAsia="Times New Roman" w:hAnsi="Times New Roman"/>
          <w:iCs/>
          <w:sz w:val="24"/>
          <w:szCs w:val="24"/>
          <w:lang w:val="x-none"/>
        </w:rPr>
        <w:fldChar w:fldCharType="end"/>
      </w:r>
      <w:r w:rsidRPr="004560C6">
        <w:rPr>
          <w:rFonts w:ascii="Times New Roman" w:eastAsia="Times New Roman" w:hAnsi="Times New Roman"/>
          <w:iCs/>
          <w:sz w:val="24"/>
          <w:szCs w:val="24"/>
          <w:lang w:val="x-none"/>
        </w:rPr>
        <w:t xml:space="preserve">(b), APRA may, by notice in writing, change the reporting periods for the particular </w:t>
      </w:r>
      <w:r w:rsidR="007C006E">
        <w:rPr>
          <w:rFonts w:ascii="Times New Roman" w:eastAsia="Times New Roman" w:hAnsi="Times New Roman"/>
          <w:iCs/>
          <w:sz w:val="24"/>
          <w:szCs w:val="24"/>
        </w:rPr>
        <w:t>select investment option</w:t>
      </w:r>
      <w:r w:rsidRPr="004560C6">
        <w:rPr>
          <w:rFonts w:ascii="Times New Roman" w:eastAsia="Times New Roman" w:hAnsi="Times New Roman"/>
          <w:iCs/>
          <w:sz w:val="24"/>
          <w:szCs w:val="24"/>
          <w:lang w:val="x-none"/>
        </w:rPr>
        <w:t>.</w:t>
      </w:r>
      <w:bookmarkEnd w:id="5"/>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bookmarkStart w:id="6" w:name="_Ref350688839"/>
      <w:r w:rsidRPr="004560C6">
        <w:rPr>
          <w:rFonts w:ascii="Times New Roman" w:eastAsia="Times New Roman" w:hAnsi="Times New Roman"/>
          <w:iCs/>
          <w:sz w:val="24"/>
          <w:szCs w:val="24"/>
          <w:lang w:val="x-none"/>
        </w:rPr>
        <w:t>The information required by this Reporting Standard must be provided to APRA:</w:t>
      </w:r>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rPr>
        <w:t>in the case of quarterly information – within</w:t>
      </w:r>
      <w:r w:rsidRPr="004560C6">
        <w:rPr>
          <w:rFonts w:ascii="Times New Roman" w:eastAsia="Times New Roman" w:hAnsi="Times New Roman"/>
          <w:iCs/>
          <w:sz w:val="24"/>
          <w:szCs w:val="24"/>
          <w:lang w:val="x-none"/>
        </w:rPr>
        <w:t xml:space="preserve"> 28 calendar days after the end of </w:t>
      </w:r>
      <w:r w:rsidRPr="004560C6">
        <w:rPr>
          <w:rFonts w:ascii="Times New Roman" w:eastAsia="Times New Roman" w:hAnsi="Times New Roman"/>
          <w:iCs/>
          <w:sz w:val="24"/>
          <w:szCs w:val="24"/>
        </w:rPr>
        <w:t>the</w:t>
      </w:r>
      <w:r w:rsidRPr="004560C6">
        <w:rPr>
          <w:rFonts w:ascii="Times New Roman" w:eastAsia="Times New Roman" w:hAnsi="Times New Roman"/>
          <w:iCs/>
          <w:sz w:val="24"/>
          <w:szCs w:val="24"/>
          <w:lang w:val="x-none"/>
        </w:rPr>
        <w:t xml:space="preserve"> quarter to which the information relates</w:t>
      </w:r>
      <w:r w:rsidRPr="004560C6">
        <w:rPr>
          <w:rFonts w:ascii="Times New Roman" w:eastAsia="Times New Roman" w:hAnsi="Times New Roman"/>
          <w:iCs/>
          <w:sz w:val="24"/>
          <w:vertAlign w:val="superscript"/>
          <w:lang w:val="x-none"/>
        </w:rPr>
        <w:footnoteReference w:id="3"/>
      </w:r>
      <w:r w:rsidRPr="004560C6">
        <w:rPr>
          <w:rFonts w:ascii="Times New Roman" w:eastAsia="Times New Roman" w:hAnsi="Times New Roman"/>
          <w:iCs/>
          <w:sz w:val="24"/>
          <w:szCs w:val="24"/>
          <w:lang w:val="x-none"/>
        </w:rPr>
        <w:t xml:space="preserve">; </w:t>
      </w:r>
    </w:p>
    <w:p w:rsidR="004560C6" w:rsidRPr="00505882" w:rsidRDefault="004560C6" w:rsidP="00CA6048">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rPr>
        <w:t>in the case of annual information</w:t>
      </w:r>
      <w:r w:rsidR="00505882">
        <w:rPr>
          <w:rFonts w:ascii="Times New Roman" w:eastAsia="Times New Roman" w:hAnsi="Times New Roman"/>
          <w:iCs/>
          <w:sz w:val="24"/>
          <w:szCs w:val="24"/>
        </w:rPr>
        <w:t xml:space="preserve"> - </w:t>
      </w:r>
      <w:r w:rsidRPr="00505882">
        <w:rPr>
          <w:rFonts w:ascii="Times New Roman" w:eastAsia="Times New Roman" w:hAnsi="Times New Roman"/>
          <w:iCs/>
          <w:sz w:val="24"/>
          <w:szCs w:val="24"/>
        </w:rPr>
        <w:t>within three months after the end of the year of income to which the information relates</w:t>
      </w:r>
      <w:r w:rsidRPr="00505882">
        <w:rPr>
          <w:rFonts w:ascii="Times New Roman" w:eastAsia="Times New Roman" w:hAnsi="Times New Roman"/>
          <w:iCs/>
          <w:sz w:val="24"/>
          <w:szCs w:val="24"/>
          <w:lang w:val="x-none"/>
        </w:rPr>
        <w:t>; and</w:t>
      </w:r>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in the case of information provided in accordance with paragraph </w:t>
      </w:r>
      <w:r w:rsidRPr="004560C6">
        <w:rPr>
          <w:rFonts w:ascii="Times New Roman" w:eastAsia="Times New Roman" w:hAnsi="Times New Roman"/>
          <w:iCs/>
          <w:sz w:val="24"/>
          <w:szCs w:val="24"/>
          <w:lang w:val="x-none"/>
        </w:rPr>
        <w:fldChar w:fldCharType="begin"/>
      </w:r>
      <w:r w:rsidRPr="004560C6">
        <w:rPr>
          <w:rFonts w:ascii="Times New Roman" w:eastAsia="Times New Roman" w:hAnsi="Times New Roman"/>
          <w:iCs/>
          <w:sz w:val="24"/>
          <w:szCs w:val="24"/>
          <w:lang w:val="x-none"/>
        </w:rPr>
        <w:instrText xml:space="preserve"> REF _Ref349587267 \r \h </w:instrText>
      </w:r>
      <w:r w:rsidRPr="004560C6">
        <w:rPr>
          <w:rFonts w:ascii="Times New Roman" w:eastAsia="Times New Roman" w:hAnsi="Times New Roman"/>
          <w:iCs/>
          <w:sz w:val="24"/>
          <w:szCs w:val="24"/>
          <w:lang w:val="x-none"/>
        </w:rPr>
      </w:r>
      <w:r w:rsidRPr="004560C6">
        <w:rPr>
          <w:rFonts w:ascii="Times New Roman" w:eastAsia="Times New Roman" w:hAnsi="Times New Roman"/>
          <w:iCs/>
          <w:sz w:val="24"/>
          <w:szCs w:val="24"/>
          <w:lang w:val="x-none"/>
        </w:rPr>
        <w:fldChar w:fldCharType="separate"/>
      </w:r>
      <w:r w:rsidR="005220B4">
        <w:rPr>
          <w:rFonts w:ascii="Times New Roman" w:eastAsia="Times New Roman" w:hAnsi="Times New Roman"/>
          <w:iCs/>
          <w:sz w:val="24"/>
          <w:szCs w:val="24"/>
          <w:lang w:val="x-none"/>
        </w:rPr>
        <w:t>8</w:t>
      </w:r>
      <w:r w:rsidRPr="004560C6">
        <w:rPr>
          <w:rFonts w:ascii="Times New Roman" w:eastAsia="Times New Roman" w:hAnsi="Times New Roman"/>
          <w:iCs/>
          <w:sz w:val="24"/>
          <w:szCs w:val="24"/>
          <w:lang w:val="x-none"/>
        </w:rPr>
        <w:fldChar w:fldCharType="end"/>
      </w:r>
      <w:r w:rsidRPr="004560C6">
        <w:rPr>
          <w:rFonts w:ascii="Times New Roman" w:eastAsia="Times New Roman" w:hAnsi="Times New Roman"/>
          <w:iCs/>
          <w:sz w:val="24"/>
          <w:szCs w:val="24"/>
          <w:lang w:val="x-none"/>
        </w:rPr>
        <w:t>, within the time specified by notice in writing.</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bookmarkStart w:id="7" w:name="_Ref350688848"/>
      <w:bookmarkEnd w:id="6"/>
      <w:r w:rsidRPr="004560C6">
        <w:rPr>
          <w:rFonts w:ascii="Times New Roman" w:eastAsia="Times New Roman" w:hAnsi="Times New Roman"/>
          <w:iCs/>
          <w:sz w:val="24"/>
          <w:szCs w:val="24"/>
          <w:lang w:val="x-none"/>
        </w:rPr>
        <w:t xml:space="preserve">APRA may grant, in writing, an RSE licensee an extension of a due date with respect to </w:t>
      </w:r>
      <w:r w:rsidRPr="004560C6">
        <w:rPr>
          <w:rFonts w:ascii="Times New Roman" w:eastAsia="Times New Roman" w:hAnsi="Times New Roman"/>
          <w:iCs/>
          <w:sz w:val="24"/>
          <w:szCs w:val="24"/>
        </w:rPr>
        <w:t>one or more</w:t>
      </w:r>
      <w:r w:rsidRPr="004560C6">
        <w:rPr>
          <w:rFonts w:ascii="Times New Roman" w:eastAsia="Times New Roman" w:hAnsi="Times New Roman"/>
          <w:iCs/>
          <w:sz w:val="24"/>
          <w:szCs w:val="24"/>
          <w:lang w:val="x-none"/>
        </w:rPr>
        <w:t xml:space="preserve"> </w:t>
      </w:r>
      <w:r w:rsidR="0099778F">
        <w:rPr>
          <w:rFonts w:ascii="Times New Roman" w:eastAsia="Times New Roman" w:hAnsi="Times New Roman"/>
          <w:iCs/>
          <w:sz w:val="24"/>
          <w:szCs w:val="24"/>
        </w:rPr>
        <w:t>s</w:t>
      </w:r>
      <w:r w:rsidR="007C006E">
        <w:rPr>
          <w:rFonts w:ascii="Times New Roman" w:eastAsia="Times New Roman" w:hAnsi="Times New Roman"/>
          <w:iCs/>
          <w:sz w:val="24"/>
          <w:szCs w:val="24"/>
        </w:rPr>
        <w:t>elect investment option</w:t>
      </w:r>
      <w:r w:rsidRPr="004560C6">
        <w:rPr>
          <w:rFonts w:ascii="Times New Roman" w:eastAsia="Times New Roman" w:hAnsi="Times New Roman"/>
          <w:iCs/>
          <w:sz w:val="24"/>
          <w:szCs w:val="24"/>
        </w:rPr>
        <w:t xml:space="preserve">s </w:t>
      </w:r>
      <w:r w:rsidRPr="004560C6">
        <w:rPr>
          <w:rFonts w:ascii="Times New Roman" w:eastAsia="Times New Roman" w:hAnsi="Times New Roman"/>
          <w:iCs/>
          <w:sz w:val="24"/>
          <w:szCs w:val="24"/>
          <w:lang w:val="x-none"/>
        </w:rPr>
        <w:t>within its business operations, in which case the new due date for the provision of the information will be the date on the notice of extension.</w:t>
      </w:r>
      <w:bookmarkEnd w:id="7"/>
    </w:p>
    <w:p w:rsidR="004560C6" w:rsidRPr="004560C6" w:rsidRDefault="004560C6" w:rsidP="004560C6">
      <w:pPr>
        <w:keepNext/>
        <w:keepLines/>
        <w:spacing w:before="120" w:after="240"/>
        <w:outlineLvl w:val="2"/>
        <w:rPr>
          <w:rFonts w:ascii="Arial" w:eastAsia="Times New Roman" w:hAnsi="Arial"/>
          <w:b/>
          <w:bCs/>
          <w:color w:val="000000"/>
          <w:sz w:val="24"/>
          <w:szCs w:val="24"/>
          <w:lang w:val="x-none"/>
        </w:rPr>
      </w:pPr>
      <w:r w:rsidRPr="004560C6">
        <w:rPr>
          <w:rFonts w:ascii="Arial" w:eastAsia="Times New Roman" w:hAnsi="Arial"/>
          <w:b/>
          <w:bCs/>
          <w:color w:val="000000"/>
          <w:sz w:val="24"/>
          <w:szCs w:val="24"/>
          <w:lang w:val="x-none"/>
        </w:rPr>
        <w:lastRenderedPageBreak/>
        <w:t>Quality control</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The information provided by an RSE licensee under this Reporting Standard must be the product of systems, </w:t>
      </w:r>
      <w:r w:rsidRPr="004560C6">
        <w:rPr>
          <w:rFonts w:ascii="Times New Roman" w:eastAsia="Times New Roman" w:hAnsi="Times New Roman"/>
          <w:iCs/>
          <w:sz w:val="24"/>
          <w:szCs w:val="24"/>
        </w:rPr>
        <w:t>procedures</w:t>
      </w:r>
      <w:r w:rsidRPr="004560C6">
        <w:rPr>
          <w:rFonts w:ascii="Times New Roman" w:eastAsia="Times New Roman" w:hAnsi="Times New Roman"/>
          <w:iCs/>
          <w:sz w:val="24"/>
          <w:szCs w:val="24"/>
          <w:lang w:val="x-none"/>
        </w:rPr>
        <w:t xml:space="preserve"> and </w:t>
      </w:r>
      <w:r w:rsidRPr="004560C6">
        <w:rPr>
          <w:rFonts w:ascii="Times New Roman" w:eastAsia="Times New Roman" w:hAnsi="Times New Roman"/>
          <w:iCs/>
          <w:sz w:val="24"/>
          <w:szCs w:val="24"/>
        </w:rPr>
        <w:t xml:space="preserve">internal </w:t>
      </w:r>
      <w:r w:rsidRPr="004560C6">
        <w:rPr>
          <w:rFonts w:ascii="Times New Roman" w:eastAsia="Times New Roman" w:hAnsi="Times New Roman"/>
          <w:iCs/>
          <w:sz w:val="24"/>
          <w:szCs w:val="24"/>
          <w:lang w:val="x-none"/>
        </w:rPr>
        <w:t>controls that have been reviewed and tested by the RSE auditor of the RSE</w:t>
      </w:r>
      <w:r w:rsidRPr="004560C6">
        <w:rPr>
          <w:rFonts w:ascii="Times New Roman" w:eastAsia="Times New Roman" w:hAnsi="Times New Roman"/>
          <w:iCs/>
          <w:sz w:val="24"/>
          <w:szCs w:val="24"/>
        </w:rPr>
        <w:t xml:space="preserve"> within which the </w:t>
      </w:r>
      <w:r w:rsidR="00505882">
        <w:rPr>
          <w:rFonts w:ascii="Times New Roman" w:eastAsia="Times New Roman" w:hAnsi="Times New Roman"/>
          <w:iCs/>
          <w:sz w:val="24"/>
          <w:szCs w:val="24"/>
        </w:rPr>
        <w:t>s</w:t>
      </w:r>
      <w:r w:rsidR="007C006E">
        <w:rPr>
          <w:rFonts w:ascii="Times New Roman" w:eastAsia="Times New Roman" w:hAnsi="Times New Roman"/>
          <w:iCs/>
          <w:sz w:val="24"/>
          <w:szCs w:val="24"/>
        </w:rPr>
        <w:t>elect investment option</w:t>
      </w:r>
      <w:r w:rsidRPr="004560C6">
        <w:rPr>
          <w:rFonts w:ascii="Times New Roman" w:eastAsia="Times New Roman" w:hAnsi="Times New Roman"/>
          <w:iCs/>
          <w:sz w:val="24"/>
          <w:szCs w:val="24"/>
        </w:rPr>
        <w:t>,</w:t>
      </w:r>
      <w:r w:rsidRPr="004560C6">
        <w:rPr>
          <w:rFonts w:ascii="Times New Roman" w:eastAsia="Times New Roman" w:hAnsi="Times New Roman"/>
          <w:iCs/>
          <w:sz w:val="24"/>
          <w:szCs w:val="24"/>
          <w:lang w:val="x-none"/>
        </w:rPr>
        <w:t xml:space="preserve"> to which the information relates</w:t>
      </w:r>
      <w:r w:rsidRPr="004560C6">
        <w:rPr>
          <w:rFonts w:ascii="Times New Roman" w:eastAsia="Times New Roman" w:hAnsi="Times New Roman"/>
          <w:iCs/>
          <w:sz w:val="24"/>
          <w:szCs w:val="24"/>
        </w:rPr>
        <w:t>, is located</w:t>
      </w:r>
      <w:r w:rsidRPr="004560C6">
        <w:rPr>
          <w:rFonts w:ascii="Times New Roman" w:eastAsia="Times New Roman" w:hAnsi="Times New Roman"/>
          <w:iCs/>
          <w:sz w:val="24"/>
          <w:szCs w:val="24"/>
          <w:lang w:val="x-none"/>
        </w:rPr>
        <w:t>.</w:t>
      </w:r>
      <w:r w:rsidRPr="004560C6">
        <w:rPr>
          <w:rFonts w:ascii="Times New Roman" w:eastAsia="Times New Roman" w:hAnsi="Times New Roman"/>
          <w:iCs/>
          <w:sz w:val="24"/>
          <w:vertAlign w:val="superscript"/>
          <w:lang w:val="x-none"/>
        </w:rPr>
        <w:footnoteReference w:id="4"/>
      </w:r>
      <w:r w:rsidRPr="004560C6">
        <w:rPr>
          <w:rFonts w:ascii="Times New Roman" w:eastAsia="Times New Roman" w:hAnsi="Times New Roman"/>
          <w:iCs/>
          <w:sz w:val="24"/>
          <w:szCs w:val="24"/>
          <w:lang w:val="x-none"/>
        </w:rPr>
        <w:t xml:space="preserve"> This will require the RSE auditor to review and test the RSE licensee’s systems, </w:t>
      </w:r>
      <w:r w:rsidRPr="004560C6">
        <w:rPr>
          <w:rFonts w:ascii="Times New Roman" w:eastAsia="Times New Roman" w:hAnsi="Times New Roman"/>
          <w:iCs/>
          <w:sz w:val="24"/>
          <w:szCs w:val="24"/>
        </w:rPr>
        <w:t>procedures</w:t>
      </w:r>
      <w:r w:rsidRPr="004560C6">
        <w:rPr>
          <w:rFonts w:ascii="Times New Roman" w:eastAsia="Times New Roman" w:hAnsi="Times New Roman"/>
          <w:iCs/>
          <w:sz w:val="24"/>
          <w:szCs w:val="24"/>
          <w:lang w:val="x-none"/>
        </w:rPr>
        <w:t xml:space="preserve"> and </w:t>
      </w:r>
      <w:r w:rsidRPr="004560C6">
        <w:rPr>
          <w:rFonts w:ascii="Times New Roman" w:eastAsia="Times New Roman" w:hAnsi="Times New Roman"/>
          <w:iCs/>
          <w:sz w:val="24"/>
          <w:szCs w:val="24"/>
        </w:rPr>
        <w:t xml:space="preserve">internal </w:t>
      </w:r>
      <w:r w:rsidRPr="004560C6">
        <w:rPr>
          <w:rFonts w:ascii="Times New Roman" w:eastAsia="Times New Roman" w:hAnsi="Times New Roman"/>
          <w:iCs/>
          <w:sz w:val="24"/>
          <w:szCs w:val="24"/>
          <w:lang w:val="x-none"/>
        </w:rPr>
        <w:t>controls designed to enable the RSE licensee to report reliable information to APRA. This review and testing must be done on:</w:t>
      </w:r>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an annual basis or more frequently if necessary to enable the RSE auditor to form an opinion on the reliability and accuracy of </w:t>
      </w:r>
      <w:r w:rsidRPr="004560C6">
        <w:rPr>
          <w:rFonts w:ascii="Times New Roman" w:eastAsia="Times New Roman" w:hAnsi="Times New Roman"/>
          <w:iCs/>
          <w:sz w:val="24"/>
          <w:szCs w:val="24"/>
        </w:rPr>
        <w:t>information</w:t>
      </w:r>
      <w:r w:rsidRPr="004560C6">
        <w:rPr>
          <w:rFonts w:ascii="Times New Roman" w:eastAsia="Times New Roman" w:hAnsi="Times New Roman"/>
          <w:iCs/>
          <w:sz w:val="24"/>
          <w:szCs w:val="24"/>
          <w:lang w:val="x-none"/>
        </w:rPr>
        <w:t>; and</w:t>
      </w:r>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at least a limited assurance engagement consistent with professional standards and guidance notes issued by the Auditing and Assurance Standards Board as may be amended from time to time, to the extent that they are not inconsistent with the requirements of SPS 310.</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All information provided by an RSE licensee under this Reporting Standard must be subject to systems, processes and controls developed by the RSE licensee for the internal review and authorisation of that information. It is the responsibility of the Board and senior management of the RSE licensee to ensure that an appropriate set of policies and procedures for the authorisation of information submitted to APRA is in place.</w:t>
      </w:r>
    </w:p>
    <w:p w:rsidR="004560C6" w:rsidRPr="004560C6" w:rsidRDefault="004560C6" w:rsidP="004560C6">
      <w:pPr>
        <w:keepNext/>
        <w:keepLines/>
        <w:spacing w:before="120" w:after="240"/>
        <w:outlineLvl w:val="2"/>
        <w:rPr>
          <w:rFonts w:ascii="Arial" w:eastAsia="Times New Roman" w:hAnsi="Arial"/>
          <w:b/>
          <w:bCs/>
          <w:color w:val="000000"/>
          <w:sz w:val="24"/>
          <w:szCs w:val="24"/>
          <w:lang w:val="x-none"/>
        </w:rPr>
      </w:pPr>
      <w:r w:rsidRPr="004560C6">
        <w:rPr>
          <w:rFonts w:ascii="Arial" w:eastAsia="Times New Roman" w:hAnsi="Arial"/>
          <w:b/>
          <w:bCs/>
          <w:color w:val="000000"/>
          <w:sz w:val="24"/>
          <w:szCs w:val="24"/>
          <w:lang w:val="x-none"/>
        </w:rPr>
        <w:t>Authorisation</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When a</w:t>
      </w:r>
      <w:r w:rsidRPr="004560C6">
        <w:rPr>
          <w:rFonts w:ascii="Times New Roman" w:eastAsia="Times New Roman" w:hAnsi="Times New Roman"/>
          <w:iCs/>
          <w:sz w:val="24"/>
          <w:szCs w:val="24"/>
        </w:rPr>
        <w:t xml:space="preserve">n </w:t>
      </w:r>
      <w:r w:rsidRPr="004560C6">
        <w:rPr>
          <w:rFonts w:ascii="Times New Roman" w:eastAsia="Times New Roman" w:hAnsi="Times New Roman"/>
          <w:iCs/>
          <w:sz w:val="24"/>
          <w:szCs w:val="24"/>
          <w:lang w:val="x-none"/>
        </w:rPr>
        <w:t>officer or agent of an RSE licensee provides the information required by this Reporting Standard using the ‘Direct to APRA’ software, it will be necessary for the officer or agent to digitally sign the relevant information using a digital certificate acceptable to APRA.</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If the information required by this Reporting Standard </w:t>
      </w:r>
      <w:r w:rsidRPr="004560C6">
        <w:rPr>
          <w:rFonts w:ascii="Times New Roman" w:eastAsia="Times New Roman" w:hAnsi="Times New Roman"/>
          <w:iCs/>
          <w:sz w:val="24"/>
          <w:szCs w:val="24"/>
        </w:rPr>
        <w:t xml:space="preserve">is provided by </w:t>
      </w:r>
      <w:r w:rsidRPr="004560C6">
        <w:rPr>
          <w:rFonts w:ascii="Times New Roman" w:eastAsia="Times New Roman" w:hAnsi="Times New Roman"/>
          <w:iCs/>
          <w:sz w:val="24"/>
          <w:szCs w:val="24"/>
          <w:lang w:val="x-none"/>
        </w:rPr>
        <w:t>an agent who submits using the ‘Direct to APRA’ software on the RSE licensee’s behalf, the RSE licensee must:</w:t>
      </w:r>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obtain from the agent a copy of the completed form with the information provided to APRA; and</w:t>
      </w:r>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retain the completed copy.</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A</w:t>
      </w:r>
      <w:r w:rsidRPr="004560C6">
        <w:rPr>
          <w:rFonts w:ascii="Times New Roman" w:eastAsia="Times New Roman" w:hAnsi="Times New Roman"/>
          <w:iCs/>
          <w:sz w:val="24"/>
          <w:szCs w:val="24"/>
        </w:rPr>
        <w:t xml:space="preserve">n </w:t>
      </w:r>
      <w:r w:rsidRPr="004560C6">
        <w:rPr>
          <w:rFonts w:ascii="Times New Roman" w:eastAsia="Times New Roman" w:hAnsi="Times New Roman"/>
          <w:iCs/>
          <w:sz w:val="24"/>
          <w:szCs w:val="24"/>
          <w:lang w:val="x-none"/>
        </w:rPr>
        <w:t>officer or agent of an RSE licensee who submits the information under this Reporting Standard for, on behalf of, the RSE licensee must be authorised by either:</w:t>
      </w:r>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the </w:t>
      </w:r>
      <w:r w:rsidRPr="004560C6">
        <w:rPr>
          <w:rFonts w:ascii="Times New Roman" w:eastAsia="Times New Roman" w:hAnsi="Times New Roman"/>
          <w:iCs/>
          <w:sz w:val="24"/>
          <w:szCs w:val="24"/>
        </w:rPr>
        <w:t xml:space="preserve">Chief </w:t>
      </w:r>
      <w:r w:rsidRPr="004560C6">
        <w:rPr>
          <w:rFonts w:ascii="Times New Roman" w:eastAsia="Times New Roman" w:hAnsi="Times New Roman"/>
          <w:iCs/>
          <w:sz w:val="24"/>
          <w:szCs w:val="24"/>
          <w:lang w:val="x-none"/>
        </w:rPr>
        <w:t>Executive Officer of the RSE licensee; or</w:t>
      </w:r>
    </w:p>
    <w:p w:rsidR="004560C6" w:rsidRPr="004560C6" w:rsidRDefault="004560C6" w:rsidP="004560C6">
      <w:pPr>
        <w:numPr>
          <w:ilvl w:val="1"/>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the Chief Financial Officer of the RSE licensee. </w:t>
      </w:r>
    </w:p>
    <w:p w:rsidR="004560C6" w:rsidRPr="004560C6" w:rsidRDefault="004560C6" w:rsidP="004560C6">
      <w:pPr>
        <w:keepNext/>
        <w:keepLines/>
        <w:spacing w:before="120" w:after="240"/>
        <w:outlineLvl w:val="2"/>
        <w:rPr>
          <w:rFonts w:ascii="Arial" w:eastAsia="Times New Roman" w:hAnsi="Arial"/>
          <w:b/>
          <w:bCs/>
          <w:color w:val="000000"/>
          <w:sz w:val="24"/>
          <w:szCs w:val="24"/>
          <w:lang w:val="x-none"/>
        </w:rPr>
      </w:pPr>
      <w:r w:rsidRPr="004560C6">
        <w:rPr>
          <w:rFonts w:ascii="Arial" w:eastAsia="Times New Roman" w:hAnsi="Arial"/>
          <w:b/>
          <w:bCs/>
          <w:color w:val="000000"/>
          <w:sz w:val="24"/>
          <w:szCs w:val="24"/>
          <w:lang w:val="x-none"/>
        </w:rPr>
        <w:lastRenderedPageBreak/>
        <w:t>Variations</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 xml:space="preserve">APRA may, by written notice to an RSE licensee, vary the reporting requirements of SRF </w:t>
      </w:r>
      <w:r w:rsidR="007C006E">
        <w:rPr>
          <w:rFonts w:ascii="Times New Roman" w:eastAsia="Times New Roman" w:hAnsi="Times New Roman"/>
          <w:iCs/>
          <w:sz w:val="24"/>
          <w:szCs w:val="24"/>
        </w:rPr>
        <w:t>533.1</w:t>
      </w:r>
      <w:r w:rsidRPr="004560C6">
        <w:rPr>
          <w:rFonts w:ascii="Times New Roman" w:eastAsia="Times New Roman" w:hAnsi="Times New Roman"/>
          <w:iCs/>
          <w:sz w:val="24"/>
          <w:szCs w:val="24"/>
          <w:lang w:val="x-none"/>
        </w:rPr>
        <w:t xml:space="preserve"> in relation to that RSE licensee or </w:t>
      </w:r>
      <w:r w:rsidRPr="004560C6">
        <w:rPr>
          <w:rFonts w:ascii="Times New Roman" w:eastAsia="Times New Roman" w:hAnsi="Times New Roman"/>
          <w:iCs/>
          <w:sz w:val="24"/>
          <w:szCs w:val="24"/>
        </w:rPr>
        <w:t xml:space="preserve">one or more </w:t>
      </w:r>
      <w:r w:rsidR="00505882">
        <w:rPr>
          <w:rFonts w:ascii="Times New Roman" w:eastAsia="Times New Roman" w:hAnsi="Times New Roman"/>
          <w:iCs/>
          <w:sz w:val="24"/>
          <w:szCs w:val="24"/>
        </w:rPr>
        <w:t>s</w:t>
      </w:r>
      <w:r w:rsidR="007C006E">
        <w:rPr>
          <w:rFonts w:ascii="Times New Roman" w:eastAsia="Times New Roman" w:hAnsi="Times New Roman"/>
          <w:iCs/>
          <w:sz w:val="24"/>
          <w:szCs w:val="24"/>
        </w:rPr>
        <w:t>elect investment option</w:t>
      </w:r>
      <w:r w:rsidRPr="004560C6">
        <w:rPr>
          <w:rFonts w:ascii="Times New Roman" w:eastAsia="Times New Roman" w:hAnsi="Times New Roman"/>
          <w:iCs/>
          <w:sz w:val="24"/>
          <w:szCs w:val="24"/>
        </w:rPr>
        <w:t xml:space="preserve">s </w:t>
      </w:r>
      <w:r w:rsidRPr="004560C6">
        <w:rPr>
          <w:rFonts w:ascii="Times New Roman" w:eastAsia="Times New Roman" w:hAnsi="Times New Roman"/>
          <w:iCs/>
          <w:sz w:val="24"/>
          <w:szCs w:val="24"/>
          <w:lang w:val="x-none"/>
        </w:rPr>
        <w:t>within that RSE licensee’s business operations.</w:t>
      </w:r>
    </w:p>
    <w:p w:rsidR="004560C6" w:rsidRPr="004560C6" w:rsidRDefault="004560C6" w:rsidP="004560C6">
      <w:pPr>
        <w:keepNext/>
        <w:keepLines/>
        <w:spacing w:before="120" w:after="240"/>
        <w:outlineLvl w:val="2"/>
        <w:rPr>
          <w:rFonts w:ascii="Arial" w:eastAsia="Times New Roman" w:hAnsi="Arial"/>
          <w:b/>
          <w:bCs/>
          <w:color w:val="000000"/>
          <w:sz w:val="24"/>
          <w:szCs w:val="24"/>
          <w:lang w:val="x-none"/>
        </w:rPr>
      </w:pPr>
      <w:r w:rsidRPr="004560C6">
        <w:rPr>
          <w:rFonts w:ascii="Arial" w:eastAsia="Times New Roman" w:hAnsi="Arial"/>
          <w:b/>
          <w:bCs/>
          <w:color w:val="000000"/>
          <w:sz w:val="24"/>
          <w:szCs w:val="24"/>
          <w:lang w:val="x-none"/>
        </w:rPr>
        <w:t>Interpretation</w:t>
      </w:r>
    </w:p>
    <w:p w:rsidR="004560C6" w:rsidRPr="004560C6" w:rsidRDefault="004560C6" w:rsidP="004560C6">
      <w:pPr>
        <w:numPr>
          <w:ilvl w:val="0"/>
          <w:numId w:val="14"/>
        </w:numPr>
        <w:spacing w:before="240" w:after="240"/>
        <w:jc w:val="both"/>
        <w:rPr>
          <w:rFonts w:ascii="Times New Roman" w:eastAsia="Times New Roman" w:hAnsi="Times New Roman"/>
          <w:iCs/>
          <w:sz w:val="24"/>
          <w:szCs w:val="24"/>
          <w:lang w:val="x-none"/>
        </w:rPr>
      </w:pPr>
      <w:r w:rsidRPr="004560C6">
        <w:rPr>
          <w:rFonts w:ascii="Times New Roman" w:eastAsia="Times New Roman" w:hAnsi="Times New Roman"/>
          <w:iCs/>
          <w:sz w:val="24"/>
          <w:szCs w:val="24"/>
          <w:lang w:val="x-none"/>
        </w:rPr>
        <w:t>In this Reporting Standard:</w:t>
      </w:r>
    </w:p>
    <w:p w:rsidR="004560C6" w:rsidRPr="004560C6" w:rsidRDefault="004560C6" w:rsidP="004560C6">
      <w:pPr>
        <w:spacing w:after="240"/>
        <w:ind w:left="567"/>
        <w:jc w:val="both"/>
        <w:rPr>
          <w:rFonts w:ascii="Times New Roman" w:eastAsia="Times New Roman" w:hAnsi="Times New Roman"/>
          <w:iCs/>
          <w:lang w:val="x-none"/>
        </w:rPr>
      </w:pPr>
      <w:r w:rsidRPr="004560C6">
        <w:rPr>
          <w:rFonts w:ascii="Times New Roman" w:eastAsia="Times New Roman" w:hAnsi="Times New Roman"/>
          <w:b/>
          <w:i/>
          <w:iCs/>
          <w:lang w:val="x-none"/>
        </w:rPr>
        <w:t>APRA</w:t>
      </w:r>
      <w:r w:rsidRPr="004560C6">
        <w:rPr>
          <w:rFonts w:ascii="Times New Roman" w:eastAsia="Times New Roman" w:hAnsi="Times New Roman"/>
          <w:iCs/>
          <w:lang w:val="x-none"/>
        </w:rPr>
        <w:t xml:space="preserve"> means the Australian Prudential Regulation Authority established under the </w:t>
      </w:r>
      <w:r w:rsidRPr="004560C6">
        <w:rPr>
          <w:rFonts w:ascii="Times New Roman" w:eastAsia="Times New Roman" w:hAnsi="Times New Roman"/>
          <w:i/>
          <w:iCs/>
          <w:lang w:val="x-none"/>
        </w:rPr>
        <w:t>Australian Prudential Regulation Authority Act 1998</w:t>
      </w:r>
      <w:r w:rsidRPr="004560C6">
        <w:rPr>
          <w:rFonts w:ascii="Times New Roman" w:eastAsia="Times New Roman" w:hAnsi="Times New Roman"/>
          <w:iCs/>
          <w:lang w:val="x-none"/>
        </w:rPr>
        <w:t>;</w:t>
      </w:r>
    </w:p>
    <w:p w:rsidR="004560C6" w:rsidRPr="004560C6" w:rsidRDefault="004560C6" w:rsidP="004560C6">
      <w:pPr>
        <w:spacing w:after="240"/>
        <w:ind w:left="567"/>
        <w:jc w:val="both"/>
        <w:rPr>
          <w:rFonts w:ascii="Times New Roman" w:eastAsia="Times New Roman" w:hAnsi="Times New Roman"/>
          <w:iCs/>
          <w:lang w:val="x-none"/>
        </w:rPr>
      </w:pPr>
      <w:r w:rsidRPr="004560C6">
        <w:rPr>
          <w:rFonts w:ascii="Times New Roman" w:eastAsia="Times New Roman" w:hAnsi="Times New Roman"/>
          <w:b/>
          <w:i/>
          <w:iCs/>
        </w:rPr>
        <w:t>Chief</w:t>
      </w:r>
      <w:r w:rsidRPr="004560C6">
        <w:rPr>
          <w:rFonts w:ascii="Times New Roman" w:eastAsia="Times New Roman" w:hAnsi="Times New Roman"/>
          <w:b/>
          <w:i/>
          <w:iCs/>
          <w:lang w:val="x-none"/>
        </w:rPr>
        <w:t xml:space="preserve"> Executive Officer</w:t>
      </w:r>
      <w:r w:rsidRPr="004560C6">
        <w:rPr>
          <w:rFonts w:ascii="Times New Roman" w:eastAsia="Times New Roman" w:hAnsi="Times New Roman"/>
          <w:iCs/>
          <w:lang w:val="x-none"/>
        </w:rPr>
        <w:t xml:space="preserve"> means the </w:t>
      </w:r>
      <w:r w:rsidRPr="004560C6">
        <w:rPr>
          <w:rFonts w:ascii="Times New Roman" w:eastAsia="Times New Roman" w:hAnsi="Times New Roman"/>
          <w:iCs/>
        </w:rPr>
        <w:t>chief</w:t>
      </w:r>
      <w:r w:rsidRPr="004560C6">
        <w:rPr>
          <w:rFonts w:ascii="Times New Roman" w:eastAsia="Times New Roman" w:hAnsi="Times New Roman"/>
          <w:iCs/>
          <w:lang w:val="x-none"/>
        </w:rPr>
        <w:t xml:space="preserve"> executive officer of the RSE licensee, </w:t>
      </w:r>
      <w:r w:rsidRPr="004560C6">
        <w:rPr>
          <w:rFonts w:ascii="Times New Roman" w:eastAsia="Times New Roman" w:hAnsi="Times New Roman"/>
          <w:iCs/>
        </w:rPr>
        <w:t>by whatever name called</w:t>
      </w:r>
      <w:r w:rsidRPr="004560C6">
        <w:rPr>
          <w:rFonts w:ascii="Times New Roman" w:eastAsia="Times New Roman" w:hAnsi="Times New Roman"/>
          <w:iCs/>
          <w:lang w:val="x-none"/>
        </w:rPr>
        <w:t>, and whether or not he or she is a member of the Board of the RSE licensee</w:t>
      </w:r>
      <w:r w:rsidRPr="004560C6">
        <w:rPr>
          <w:rFonts w:ascii="Times New Roman" w:eastAsia="Times New Roman" w:hAnsi="Times New Roman"/>
          <w:iCs/>
          <w:vertAlign w:val="superscript"/>
          <w:lang w:val="x-none"/>
        </w:rPr>
        <w:footnoteReference w:id="5"/>
      </w:r>
      <w:r w:rsidRPr="004560C6">
        <w:rPr>
          <w:rFonts w:ascii="Times New Roman" w:eastAsia="Times New Roman" w:hAnsi="Times New Roman"/>
          <w:iCs/>
          <w:lang w:val="x-none"/>
        </w:rPr>
        <w:t>;</w:t>
      </w:r>
    </w:p>
    <w:p w:rsidR="004560C6" w:rsidRPr="004560C6" w:rsidRDefault="004560C6" w:rsidP="004560C6">
      <w:pPr>
        <w:spacing w:after="240"/>
        <w:ind w:left="567"/>
        <w:jc w:val="both"/>
        <w:rPr>
          <w:rFonts w:ascii="Times New Roman" w:eastAsia="Times New Roman" w:hAnsi="Times New Roman"/>
          <w:iCs/>
          <w:lang w:val="x-none"/>
        </w:rPr>
      </w:pPr>
      <w:r w:rsidRPr="004560C6">
        <w:rPr>
          <w:rFonts w:ascii="Times New Roman" w:eastAsia="Times New Roman" w:hAnsi="Times New Roman"/>
          <w:b/>
          <w:i/>
          <w:iCs/>
          <w:lang w:val="x-none"/>
        </w:rPr>
        <w:t>Chief Financial Officer</w:t>
      </w:r>
      <w:r w:rsidRPr="004560C6">
        <w:rPr>
          <w:rFonts w:ascii="Times New Roman" w:eastAsia="Times New Roman" w:hAnsi="Times New Roman"/>
          <w:iCs/>
          <w:lang w:val="x-none"/>
        </w:rPr>
        <w:t xml:space="preserve"> means the chief financial officer of the RSE licensee, </w:t>
      </w:r>
      <w:r w:rsidRPr="004560C6">
        <w:rPr>
          <w:rFonts w:ascii="Times New Roman" w:eastAsia="Times New Roman" w:hAnsi="Times New Roman"/>
          <w:iCs/>
        </w:rPr>
        <w:t>by whatever name called</w:t>
      </w:r>
      <w:r w:rsidRPr="004560C6">
        <w:rPr>
          <w:rFonts w:ascii="Times New Roman" w:eastAsia="Times New Roman" w:hAnsi="Times New Roman"/>
          <w:iCs/>
          <w:lang w:val="x-none"/>
        </w:rPr>
        <w:t>;</w:t>
      </w:r>
    </w:p>
    <w:p w:rsidR="004560C6" w:rsidRPr="004560C6" w:rsidRDefault="004560C6" w:rsidP="004560C6">
      <w:pPr>
        <w:spacing w:after="240"/>
        <w:ind w:left="567"/>
        <w:jc w:val="both"/>
        <w:rPr>
          <w:rFonts w:ascii="Times New Roman" w:eastAsia="Times New Roman" w:hAnsi="Times New Roman"/>
          <w:iCs/>
          <w:lang w:val="x-none"/>
        </w:rPr>
      </w:pPr>
      <w:r w:rsidRPr="004560C6">
        <w:rPr>
          <w:rFonts w:ascii="Times New Roman" w:eastAsia="Times New Roman" w:hAnsi="Times New Roman"/>
          <w:b/>
          <w:i/>
          <w:iCs/>
          <w:lang w:val="x-none"/>
        </w:rPr>
        <w:t>due date</w:t>
      </w:r>
      <w:r w:rsidRPr="004560C6">
        <w:rPr>
          <w:rFonts w:ascii="Times New Roman" w:eastAsia="Times New Roman" w:hAnsi="Times New Roman"/>
          <w:iCs/>
          <w:lang w:val="x-none"/>
        </w:rPr>
        <w:t xml:space="preserve"> means the relevant date under paragraph </w:t>
      </w:r>
      <w:r w:rsidRPr="004560C6">
        <w:rPr>
          <w:rFonts w:ascii="Times New Roman" w:eastAsia="Times New Roman" w:hAnsi="Times New Roman"/>
          <w:iCs/>
        </w:rPr>
        <w:fldChar w:fldCharType="begin"/>
      </w:r>
      <w:r w:rsidRPr="004560C6">
        <w:rPr>
          <w:rFonts w:ascii="Times New Roman" w:eastAsia="Times New Roman" w:hAnsi="Times New Roman"/>
          <w:iCs/>
        </w:rPr>
        <w:instrText xml:space="preserve"> REF _Ref350688839 \r \h </w:instrText>
      </w:r>
      <w:r w:rsidRPr="004560C6">
        <w:rPr>
          <w:rFonts w:ascii="Times New Roman" w:eastAsia="Times New Roman" w:hAnsi="Times New Roman"/>
          <w:iCs/>
        </w:rPr>
      </w:r>
      <w:r w:rsidRPr="004560C6">
        <w:rPr>
          <w:rFonts w:ascii="Times New Roman" w:eastAsia="Times New Roman" w:hAnsi="Times New Roman"/>
          <w:iCs/>
        </w:rPr>
        <w:fldChar w:fldCharType="separate"/>
      </w:r>
      <w:r w:rsidR="005220B4">
        <w:rPr>
          <w:rFonts w:ascii="Times New Roman" w:eastAsia="Times New Roman" w:hAnsi="Times New Roman"/>
          <w:iCs/>
        </w:rPr>
        <w:t>9</w:t>
      </w:r>
      <w:r w:rsidRPr="004560C6">
        <w:rPr>
          <w:rFonts w:ascii="Times New Roman" w:eastAsia="Times New Roman" w:hAnsi="Times New Roman"/>
          <w:iCs/>
        </w:rPr>
        <w:fldChar w:fldCharType="end"/>
      </w:r>
      <w:r w:rsidRPr="004560C6">
        <w:rPr>
          <w:rFonts w:ascii="Times New Roman" w:eastAsia="Times New Roman" w:hAnsi="Times New Roman"/>
          <w:iCs/>
          <w:lang w:val="x-none"/>
        </w:rPr>
        <w:t xml:space="preserve"> or, if applicable, paragraph </w:t>
      </w:r>
      <w:r w:rsidRPr="004560C6">
        <w:rPr>
          <w:rFonts w:ascii="Times New Roman" w:eastAsia="Times New Roman" w:hAnsi="Times New Roman"/>
          <w:iCs/>
        </w:rPr>
        <w:fldChar w:fldCharType="begin"/>
      </w:r>
      <w:r w:rsidRPr="004560C6">
        <w:rPr>
          <w:rFonts w:ascii="Times New Roman" w:eastAsia="Times New Roman" w:hAnsi="Times New Roman"/>
          <w:iCs/>
        </w:rPr>
        <w:instrText xml:space="preserve"> REF _Ref350688848 \r \h </w:instrText>
      </w:r>
      <w:r w:rsidRPr="004560C6">
        <w:rPr>
          <w:rFonts w:ascii="Times New Roman" w:eastAsia="Times New Roman" w:hAnsi="Times New Roman"/>
          <w:iCs/>
        </w:rPr>
      </w:r>
      <w:r w:rsidRPr="004560C6">
        <w:rPr>
          <w:rFonts w:ascii="Times New Roman" w:eastAsia="Times New Roman" w:hAnsi="Times New Roman"/>
          <w:iCs/>
        </w:rPr>
        <w:fldChar w:fldCharType="separate"/>
      </w:r>
      <w:r w:rsidR="005220B4">
        <w:rPr>
          <w:rFonts w:ascii="Times New Roman" w:eastAsia="Times New Roman" w:hAnsi="Times New Roman"/>
          <w:iCs/>
        </w:rPr>
        <w:t>10</w:t>
      </w:r>
      <w:r w:rsidRPr="004560C6">
        <w:rPr>
          <w:rFonts w:ascii="Times New Roman" w:eastAsia="Times New Roman" w:hAnsi="Times New Roman"/>
          <w:iCs/>
        </w:rPr>
        <w:fldChar w:fldCharType="end"/>
      </w:r>
      <w:r w:rsidRPr="004560C6">
        <w:rPr>
          <w:rFonts w:ascii="Times New Roman" w:eastAsia="Times New Roman" w:hAnsi="Times New Roman"/>
          <w:iCs/>
        </w:rPr>
        <w:t>;</w:t>
      </w:r>
    </w:p>
    <w:p w:rsidR="004560C6" w:rsidRPr="004560C6" w:rsidRDefault="004560C6" w:rsidP="004560C6">
      <w:pPr>
        <w:spacing w:after="240"/>
        <w:ind w:left="567"/>
        <w:jc w:val="both"/>
        <w:rPr>
          <w:rFonts w:ascii="Times New Roman" w:eastAsia="Times New Roman" w:hAnsi="Times New Roman"/>
          <w:iCs/>
          <w:lang w:val="x-none"/>
        </w:rPr>
      </w:pPr>
      <w:r w:rsidRPr="004560C6">
        <w:rPr>
          <w:rFonts w:ascii="Times New Roman" w:eastAsia="Times New Roman" w:hAnsi="Times New Roman"/>
          <w:b/>
          <w:i/>
          <w:iCs/>
          <w:lang w:val="x-none"/>
        </w:rPr>
        <w:t>reporting period</w:t>
      </w:r>
      <w:r w:rsidRPr="004560C6">
        <w:rPr>
          <w:rFonts w:ascii="Times New Roman" w:eastAsia="Times New Roman" w:hAnsi="Times New Roman"/>
          <w:iCs/>
          <w:lang w:val="x-none"/>
        </w:rPr>
        <w:t xml:space="preserve"> means a period mentioned in paragraph </w:t>
      </w:r>
      <w:r w:rsidRPr="004560C6">
        <w:rPr>
          <w:rFonts w:ascii="Times New Roman" w:eastAsia="Times New Roman" w:hAnsi="Times New Roman"/>
          <w:iCs/>
        </w:rPr>
        <w:fldChar w:fldCharType="begin"/>
      </w:r>
      <w:r w:rsidRPr="004560C6">
        <w:rPr>
          <w:rFonts w:ascii="Times New Roman" w:eastAsia="Times New Roman" w:hAnsi="Times New Roman"/>
          <w:iCs/>
        </w:rPr>
        <w:instrText xml:space="preserve"> REF _Ref351569274 \r \h </w:instrText>
      </w:r>
      <w:r w:rsidRPr="004560C6">
        <w:rPr>
          <w:rFonts w:ascii="Times New Roman" w:eastAsia="Times New Roman" w:hAnsi="Times New Roman"/>
          <w:iCs/>
        </w:rPr>
      </w:r>
      <w:r w:rsidRPr="004560C6">
        <w:rPr>
          <w:rFonts w:ascii="Times New Roman" w:eastAsia="Times New Roman" w:hAnsi="Times New Roman"/>
          <w:iCs/>
        </w:rPr>
        <w:fldChar w:fldCharType="separate"/>
      </w:r>
      <w:r w:rsidR="005220B4">
        <w:rPr>
          <w:rFonts w:ascii="Times New Roman" w:eastAsia="Times New Roman" w:hAnsi="Times New Roman"/>
          <w:iCs/>
        </w:rPr>
        <w:t>7</w:t>
      </w:r>
      <w:r w:rsidRPr="004560C6">
        <w:rPr>
          <w:rFonts w:ascii="Times New Roman" w:eastAsia="Times New Roman" w:hAnsi="Times New Roman"/>
          <w:iCs/>
        </w:rPr>
        <w:fldChar w:fldCharType="end"/>
      </w:r>
      <w:r w:rsidRPr="004560C6">
        <w:rPr>
          <w:rFonts w:ascii="Times New Roman" w:eastAsia="Times New Roman" w:hAnsi="Times New Roman"/>
          <w:iCs/>
          <w:lang w:val="x-none"/>
        </w:rPr>
        <w:t>(a) or</w:t>
      </w:r>
      <w:r w:rsidRPr="004560C6">
        <w:rPr>
          <w:rFonts w:ascii="Times New Roman" w:eastAsia="Times New Roman" w:hAnsi="Times New Roman"/>
          <w:iCs/>
        </w:rPr>
        <w:t xml:space="preserve"> </w:t>
      </w:r>
      <w:r w:rsidRPr="004560C6">
        <w:rPr>
          <w:rFonts w:ascii="Times New Roman" w:eastAsia="Times New Roman" w:hAnsi="Times New Roman"/>
          <w:iCs/>
        </w:rPr>
        <w:fldChar w:fldCharType="begin"/>
      </w:r>
      <w:r w:rsidRPr="004560C6">
        <w:rPr>
          <w:rFonts w:ascii="Times New Roman" w:eastAsia="Times New Roman" w:hAnsi="Times New Roman"/>
          <w:iCs/>
        </w:rPr>
        <w:instrText xml:space="preserve"> REF _Ref351569274 \r \h </w:instrText>
      </w:r>
      <w:r w:rsidRPr="004560C6">
        <w:rPr>
          <w:rFonts w:ascii="Times New Roman" w:eastAsia="Times New Roman" w:hAnsi="Times New Roman"/>
          <w:iCs/>
        </w:rPr>
      </w:r>
      <w:r w:rsidRPr="004560C6">
        <w:rPr>
          <w:rFonts w:ascii="Times New Roman" w:eastAsia="Times New Roman" w:hAnsi="Times New Roman"/>
          <w:iCs/>
        </w:rPr>
        <w:fldChar w:fldCharType="separate"/>
      </w:r>
      <w:r w:rsidR="005220B4">
        <w:rPr>
          <w:rFonts w:ascii="Times New Roman" w:eastAsia="Times New Roman" w:hAnsi="Times New Roman"/>
          <w:iCs/>
        </w:rPr>
        <w:t>7</w:t>
      </w:r>
      <w:r w:rsidRPr="004560C6">
        <w:rPr>
          <w:rFonts w:ascii="Times New Roman" w:eastAsia="Times New Roman" w:hAnsi="Times New Roman"/>
          <w:iCs/>
        </w:rPr>
        <w:fldChar w:fldCharType="end"/>
      </w:r>
      <w:r w:rsidRPr="004560C6">
        <w:rPr>
          <w:rFonts w:ascii="Times New Roman" w:eastAsia="Times New Roman" w:hAnsi="Times New Roman"/>
          <w:iCs/>
          <w:lang w:val="x-none"/>
        </w:rPr>
        <w:t xml:space="preserve">(b) or, if applicable, paragraph </w:t>
      </w:r>
      <w:r w:rsidRPr="004560C6">
        <w:rPr>
          <w:rFonts w:ascii="Times New Roman" w:eastAsia="Times New Roman" w:hAnsi="Times New Roman"/>
          <w:iCs/>
        </w:rPr>
        <w:fldChar w:fldCharType="begin"/>
      </w:r>
      <w:r w:rsidRPr="004560C6">
        <w:rPr>
          <w:rFonts w:ascii="Times New Roman" w:eastAsia="Times New Roman" w:hAnsi="Times New Roman"/>
          <w:iCs/>
        </w:rPr>
        <w:instrText xml:space="preserve"> REF _Ref349587267 \r \h </w:instrText>
      </w:r>
      <w:r w:rsidRPr="004560C6">
        <w:rPr>
          <w:rFonts w:ascii="Times New Roman" w:eastAsia="Times New Roman" w:hAnsi="Times New Roman"/>
          <w:iCs/>
        </w:rPr>
      </w:r>
      <w:r w:rsidRPr="004560C6">
        <w:rPr>
          <w:rFonts w:ascii="Times New Roman" w:eastAsia="Times New Roman" w:hAnsi="Times New Roman"/>
          <w:iCs/>
        </w:rPr>
        <w:fldChar w:fldCharType="separate"/>
      </w:r>
      <w:r w:rsidR="005220B4">
        <w:rPr>
          <w:rFonts w:ascii="Times New Roman" w:eastAsia="Times New Roman" w:hAnsi="Times New Roman"/>
          <w:iCs/>
        </w:rPr>
        <w:t>8</w:t>
      </w:r>
      <w:r w:rsidRPr="004560C6">
        <w:rPr>
          <w:rFonts w:ascii="Times New Roman" w:eastAsia="Times New Roman" w:hAnsi="Times New Roman"/>
          <w:iCs/>
        </w:rPr>
        <w:fldChar w:fldCharType="end"/>
      </w:r>
      <w:r w:rsidRPr="004560C6">
        <w:rPr>
          <w:rFonts w:ascii="Times New Roman" w:eastAsia="Times New Roman" w:hAnsi="Times New Roman"/>
          <w:iCs/>
          <w:lang w:val="x-none"/>
        </w:rPr>
        <w:t>;</w:t>
      </w:r>
    </w:p>
    <w:p w:rsidR="004560C6" w:rsidRPr="004560C6" w:rsidRDefault="004560C6" w:rsidP="004560C6">
      <w:pPr>
        <w:spacing w:after="240"/>
        <w:ind w:left="567"/>
        <w:jc w:val="both"/>
        <w:rPr>
          <w:rFonts w:ascii="Times New Roman" w:eastAsia="Times New Roman" w:hAnsi="Times New Roman"/>
          <w:iCs/>
          <w:lang w:val="x-none"/>
        </w:rPr>
      </w:pPr>
      <w:r w:rsidRPr="004560C6">
        <w:rPr>
          <w:rFonts w:ascii="Times New Roman" w:eastAsia="Times New Roman" w:hAnsi="Times New Roman"/>
          <w:b/>
          <w:i/>
          <w:iCs/>
          <w:lang w:val="x-none"/>
        </w:rPr>
        <w:t>RSE</w:t>
      </w:r>
      <w:r w:rsidRPr="004560C6">
        <w:rPr>
          <w:rFonts w:ascii="Times New Roman" w:eastAsia="Times New Roman" w:hAnsi="Times New Roman"/>
          <w:iCs/>
          <w:lang w:val="x-none"/>
        </w:rPr>
        <w:t xml:space="preserve"> means a registrable superannuation entity as defined in section 10</w:t>
      </w:r>
      <w:r w:rsidRPr="004560C6">
        <w:rPr>
          <w:rFonts w:ascii="Times New Roman" w:eastAsia="Times New Roman" w:hAnsi="Times New Roman"/>
          <w:iCs/>
        </w:rPr>
        <w:t>(1)</w:t>
      </w:r>
      <w:r w:rsidRPr="004560C6">
        <w:rPr>
          <w:rFonts w:ascii="Times New Roman" w:eastAsia="Times New Roman" w:hAnsi="Times New Roman"/>
          <w:iCs/>
          <w:lang w:val="x-none"/>
        </w:rPr>
        <w:t xml:space="preserve"> of the SIS Act</w:t>
      </w:r>
      <w:r w:rsidRPr="004560C6">
        <w:rPr>
          <w:rFonts w:ascii="Times New Roman" w:eastAsia="Times New Roman" w:hAnsi="Times New Roman"/>
          <w:iCs/>
        </w:rPr>
        <w:t xml:space="preserve"> that is not a small APRA fund or single member approved deposit fund</w:t>
      </w:r>
      <w:r w:rsidRPr="004560C6">
        <w:rPr>
          <w:rFonts w:ascii="Times New Roman" w:eastAsia="Times New Roman" w:hAnsi="Times New Roman"/>
          <w:iCs/>
          <w:vertAlign w:val="superscript"/>
        </w:rPr>
        <w:footnoteReference w:id="6"/>
      </w:r>
      <w:r w:rsidRPr="004560C6">
        <w:rPr>
          <w:rFonts w:ascii="Times New Roman" w:eastAsia="Times New Roman" w:hAnsi="Times New Roman"/>
          <w:iCs/>
          <w:lang w:val="x-none"/>
        </w:rPr>
        <w:t>;</w:t>
      </w:r>
    </w:p>
    <w:p w:rsidR="004560C6" w:rsidRPr="004560C6" w:rsidRDefault="004560C6" w:rsidP="004560C6">
      <w:pPr>
        <w:spacing w:after="240"/>
        <w:ind w:left="567"/>
        <w:jc w:val="both"/>
        <w:rPr>
          <w:rFonts w:ascii="Times New Roman" w:eastAsia="Times New Roman" w:hAnsi="Times New Roman"/>
          <w:iCs/>
          <w:lang w:val="x-none"/>
        </w:rPr>
      </w:pPr>
      <w:r w:rsidRPr="004560C6">
        <w:rPr>
          <w:rFonts w:ascii="Times New Roman" w:eastAsia="Times New Roman" w:hAnsi="Times New Roman"/>
          <w:b/>
          <w:bCs/>
          <w:i/>
          <w:lang w:val="x-none"/>
        </w:rPr>
        <w:t>RSE auditor</w:t>
      </w:r>
      <w:r w:rsidRPr="004560C6">
        <w:rPr>
          <w:rFonts w:ascii="Times New Roman" w:eastAsia="Times New Roman" w:hAnsi="Times New Roman"/>
          <w:iCs/>
          <w:lang w:val="x-none"/>
        </w:rPr>
        <w:t xml:space="preserve"> means an auditor appointed by the RSE licensee to perform functions under this Reporting Standard;</w:t>
      </w:r>
    </w:p>
    <w:p w:rsidR="004560C6" w:rsidRPr="004560C6" w:rsidRDefault="004560C6" w:rsidP="004560C6">
      <w:pPr>
        <w:spacing w:after="240"/>
        <w:ind w:left="567"/>
        <w:jc w:val="both"/>
        <w:rPr>
          <w:rFonts w:ascii="Times New Roman" w:eastAsia="Times New Roman" w:hAnsi="Times New Roman"/>
          <w:iCs/>
        </w:rPr>
      </w:pPr>
      <w:r w:rsidRPr="004560C6">
        <w:rPr>
          <w:rFonts w:ascii="Times New Roman" w:eastAsia="Times New Roman" w:hAnsi="Times New Roman"/>
          <w:b/>
          <w:i/>
          <w:iCs/>
          <w:lang w:val="x-none"/>
        </w:rPr>
        <w:t>RSE licensee</w:t>
      </w:r>
      <w:r w:rsidRPr="004560C6">
        <w:rPr>
          <w:rFonts w:ascii="Times New Roman" w:eastAsia="Times New Roman" w:hAnsi="Times New Roman"/>
          <w:iCs/>
          <w:lang w:val="x-none"/>
        </w:rPr>
        <w:t xml:space="preserve"> </w:t>
      </w:r>
      <w:r w:rsidRPr="004560C6">
        <w:rPr>
          <w:rFonts w:ascii="Times New Roman" w:eastAsia="Times New Roman" w:hAnsi="Times New Roman"/>
          <w:iCs/>
        </w:rPr>
        <w:t>has the meaning given in section 10(1) of the SIS Act;</w:t>
      </w:r>
    </w:p>
    <w:bookmarkEnd w:id="2"/>
    <w:p w:rsidR="00505882" w:rsidRPr="00502F8D" w:rsidRDefault="00505882" w:rsidP="00505882">
      <w:pPr>
        <w:spacing w:after="240"/>
        <w:ind w:left="567"/>
        <w:jc w:val="both"/>
        <w:rPr>
          <w:rFonts w:ascii="Times New Roman" w:eastAsia="Times New Roman" w:hAnsi="Times New Roman"/>
          <w:color w:val="000000"/>
          <w:sz w:val="24"/>
          <w:szCs w:val="24"/>
        </w:rPr>
      </w:pPr>
      <w:r w:rsidRPr="00502F8D">
        <w:rPr>
          <w:rFonts w:ascii="Times New Roman" w:eastAsia="Times New Roman" w:hAnsi="Times New Roman"/>
          <w:b/>
          <w:i/>
          <w:color w:val="000000"/>
          <w:sz w:val="24"/>
          <w:szCs w:val="24"/>
        </w:rPr>
        <w:t>select investment option</w:t>
      </w:r>
      <w:r w:rsidRPr="00502F8D">
        <w:rPr>
          <w:rFonts w:ascii="Times New Roman" w:eastAsia="Times New Roman" w:hAnsi="Times New Roman"/>
          <w:color w:val="000000"/>
          <w:sz w:val="24"/>
          <w:szCs w:val="24"/>
        </w:rPr>
        <w:t xml:space="preserve"> means an investment option in an RSE which</w:t>
      </w:r>
      <w:r w:rsidRPr="00502F8D">
        <w:rPr>
          <w:rFonts w:ascii="Times New Roman" w:eastAsia="Times New Roman" w:hAnsi="Times New Roman"/>
          <w:color w:val="000000"/>
          <w:sz w:val="24"/>
          <w:szCs w:val="24"/>
          <w:vertAlign w:val="superscript"/>
        </w:rPr>
        <w:footnoteReference w:id="7"/>
      </w:r>
      <w:r w:rsidRPr="00502F8D">
        <w:rPr>
          <w:rFonts w:ascii="Times New Roman" w:eastAsia="Times New Roman" w:hAnsi="Times New Roman"/>
          <w:color w:val="000000"/>
          <w:sz w:val="24"/>
          <w:szCs w:val="24"/>
        </w:rPr>
        <w:t>:</w:t>
      </w:r>
    </w:p>
    <w:p w:rsidR="00505882" w:rsidRPr="00502F8D" w:rsidRDefault="00505882" w:rsidP="00505882">
      <w:pPr>
        <w:numPr>
          <w:ilvl w:val="0"/>
          <w:numId w:val="21"/>
        </w:numPr>
        <w:spacing w:before="240" w:after="240"/>
        <w:jc w:val="both"/>
        <w:rPr>
          <w:rFonts w:ascii="Times New Roman" w:eastAsia="Times New Roman" w:hAnsi="Times New Roman"/>
          <w:color w:val="000000"/>
          <w:sz w:val="24"/>
          <w:szCs w:val="24"/>
        </w:rPr>
      </w:pPr>
      <w:r w:rsidRPr="00502F8D">
        <w:rPr>
          <w:rFonts w:ascii="Times New Roman" w:eastAsia="Times New Roman" w:hAnsi="Times New Roman"/>
          <w:color w:val="000000"/>
          <w:sz w:val="24"/>
          <w:szCs w:val="24"/>
        </w:rPr>
        <w:t>underlies</w:t>
      </w:r>
      <w:r>
        <w:rPr>
          <w:rFonts w:ascii="Times New Roman" w:eastAsia="Times New Roman" w:hAnsi="Times New Roman"/>
          <w:color w:val="000000"/>
          <w:sz w:val="24"/>
          <w:szCs w:val="24"/>
        </w:rPr>
        <w:t>:</w:t>
      </w:r>
    </w:p>
    <w:p w:rsidR="00505882" w:rsidRPr="00301C0F" w:rsidRDefault="00505882" w:rsidP="00505882">
      <w:pPr>
        <w:numPr>
          <w:ilvl w:val="1"/>
          <w:numId w:val="21"/>
        </w:numPr>
        <w:spacing w:before="240" w:after="240"/>
        <w:jc w:val="both"/>
        <w:rPr>
          <w:rFonts w:ascii="Times New Roman" w:hAnsi="Times New Roman"/>
          <w:color w:val="000000"/>
          <w:sz w:val="24"/>
          <w:szCs w:val="24"/>
        </w:rPr>
      </w:pPr>
      <w:r w:rsidRPr="00301C0F">
        <w:rPr>
          <w:rFonts w:ascii="Times New Roman" w:hAnsi="Times New Roman"/>
          <w:color w:val="000000"/>
          <w:sz w:val="24"/>
          <w:szCs w:val="24"/>
        </w:rPr>
        <w:t>a defined benefit pension within the meaning of SPS 160, where that defined benefit pension is currently being paid; or</w:t>
      </w:r>
    </w:p>
    <w:p w:rsidR="00505882" w:rsidRPr="00301C0F" w:rsidRDefault="00505882" w:rsidP="00505882">
      <w:pPr>
        <w:numPr>
          <w:ilvl w:val="1"/>
          <w:numId w:val="21"/>
        </w:numPr>
        <w:spacing w:before="240" w:after="240"/>
        <w:jc w:val="both"/>
        <w:rPr>
          <w:rFonts w:ascii="Times New Roman" w:hAnsi="Times New Roman"/>
          <w:color w:val="000000"/>
          <w:sz w:val="24"/>
          <w:szCs w:val="24"/>
        </w:rPr>
      </w:pPr>
      <w:r w:rsidRPr="00301C0F">
        <w:rPr>
          <w:rFonts w:ascii="Times New Roman" w:hAnsi="Times New Roman"/>
          <w:color w:val="000000"/>
          <w:sz w:val="24"/>
          <w:szCs w:val="24"/>
        </w:rPr>
        <w:t>an interest that entitles the member who holds the interest, when benefits in respect of the interest become payable, to be paid a benefit referred to in the definition of ‘defined benefit member’ in paragraph 7(b) of SPS 160; or</w:t>
      </w:r>
    </w:p>
    <w:p w:rsidR="00505882" w:rsidRPr="00502F8D" w:rsidRDefault="00505882" w:rsidP="007A37B9">
      <w:pPr>
        <w:numPr>
          <w:ilvl w:val="0"/>
          <w:numId w:val="21"/>
        </w:numPr>
        <w:spacing w:before="240" w:after="240"/>
        <w:jc w:val="both"/>
        <w:rPr>
          <w:rFonts w:ascii="Times New Roman" w:eastAsia="Times New Roman" w:hAnsi="Times New Roman"/>
          <w:color w:val="000000"/>
          <w:sz w:val="24"/>
          <w:szCs w:val="24"/>
        </w:rPr>
      </w:pPr>
      <w:r w:rsidRPr="00301C0F">
        <w:rPr>
          <w:rFonts w:ascii="Times New Roman" w:hAnsi="Times New Roman"/>
          <w:color w:val="000000"/>
          <w:sz w:val="24"/>
          <w:szCs w:val="24"/>
        </w:rPr>
        <w:lastRenderedPageBreak/>
        <w:t>underlies a pre-MySuper default investment option that includes at least one accrued default amount (within the meaning given in section 20B of the SIS Act); or</w:t>
      </w:r>
    </w:p>
    <w:p w:rsidR="00505882" w:rsidRPr="004560C6" w:rsidRDefault="00505882" w:rsidP="00505882">
      <w:pPr>
        <w:numPr>
          <w:ilvl w:val="0"/>
          <w:numId w:val="21"/>
        </w:numPr>
        <w:spacing w:before="240" w:after="240"/>
        <w:jc w:val="both"/>
        <w:rPr>
          <w:rFonts w:ascii="Times New Roman" w:eastAsia="Times New Roman" w:hAnsi="Times New Roman"/>
          <w:color w:val="000000"/>
          <w:sz w:val="24"/>
          <w:szCs w:val="24"/>
        </w:rPr>
      </w:pPr>
      <w:r w:rsidRPr="004560C6">
        <w:rPr>
          <w:rFonts w:ascii="Times New Roman" w:eastAsia="Times New Roman" w:hAnsi="Times New Roman"/>
          <w:color w:val="000000"/>
          <w:sz w:val="24"/>
          <w:szCs w:val="24"/>
        </w:rPr>
        <w:t>at the most recent 30 June, ha</w:t>
      </w:r>
      <w:r>
        <w:rPr>
          <w:rFonts w:ascii="Times New Roman" w:eastAsia="Times New Roman" w:hAnsi="Times New Roman"/>
          <w:color w:val="000000"/>
          <w:sz w:val="24"/>
          <w:szCs w:val="24"/>
        </w:rPr>
        <w:t>s</w:t>
      </w:r>
      <w:r w:rsidRPr="004560C6">
        <w:rPr>
          <w:rFonts w:ascii="Times New Roman" w:eastAsia="Times New Roman" w:hAnsi="Times New Roman"/>
          <w:color w:val="000000"/>
          <w:sz w:val="24"/>
          <w:szCs w:val="24"/>
        </w:rPr>
        <w:t xml:space="preserve"> assets </w:t>
      </w:r>
      <w:r>
        <w:rPr>
          <w:rFonts w:ascii="Times New Roman" w:eastAsia="Times New Roman" w:hAnsi="Times New Roman"/>
          <w:color w:val="000000"/>
          <w:sz w:val="24"/>
          <w:szCs w:val="24"/>
        </w:rPr>
        <w:t xml:space="preserve">relating to non-MySuper interests </w:t>
      </w:r>
      <w:r w:rsidRPr="004560C6">
        <w:rPr>
          <w:rFonts w:ascii="Times New Roman" w:eastAsia="Times New Roman" w:hAnsi="Times New Roman"/>
          <w:color w:val="000000"/>
          <w:sz w:val="24"/>
          <w:szCs w:val="24"/>
        </w:rPr>
        <w:t xml:space="preserve">greater than $50 million; or </w:t>
      </w:r>
    </w:p>
    <w:p w:rsidR="00505882" w:rsidRPr="004560C6" w:rsidRDefault="00505882" w:rsidP="00505882">
      <w:pPr>
        <w:numPr>
          <w:ilvl w:val="0"/>
          <w:numId w:val="21"/>
        </w:numPr>
        <w:spacing w:before="240" w:after="240"/>
        <w:jc w:val="both"/>
        <w:rPr>
          <w:rFonts w:ascii="Times New Roman" w:eastAsia="Times New Roman" w:hAnsi="Times New Roman"/>
          <w:color w:val="000000"/>
          <w:sz w:val="24"/>
          <w:szCs w:val="24"/>
        </w:rPr>
      </w:pPr>
      <w:r w:rsidRPr="004560C6">
        <w:rPr>
          <w:rFonts w:ascii="Times New Roman" w:eastAsia="Times New Roman" w:hAnsi="Times New Roman"/>
          <w:color w:val="000000"/>
          <w:sz w:val="24"/>
          <w:szCs w:val="24"/>
        </w:rPr>
        <w:t xml:space="preserve">at the most recent 30 June, has assets </w:t>
      </w:r>
      <w:r>
        <w:rPr>
          <w:rFonts w:ascii="Times New Roman" w:eastAsia="Times New Roman" w:hAnsi="Times New Roman"/>
          <w:color w:val="000000"/>
          <w:sz w:val="24"/>
          <w:szCs w:val="24"/>
        </w:rPr>
        <w:t xml:space="preserve">relating to non-MySuper interests </w:t>
      </w:r>
      <w:r w:rsidRPr="004560C6">
        <w:rPr>
          <w:rFonts w:ascii="Times New Roman" w:eastAsia="Times New Roman" w:hAnsi="Times New Roman"/>
          <w:color w:val="000000"/>
          <w:sz w:val="24"/>
          <w:szCs w:val="24"/>
        </w:rPr>
        <w:t>that are less than $50 million but which represent more than 5 per cent of total assets of the RSE within which the investment option is located;</w:t>
      </w:r>
    </w:p>
    <w:p w:rsidR="004560C6" w:rsidRPr="004560C6" w:rsidRDefault="004560C6" w:rsidP="00505882">
      <w:pPr>
        <w:spacing w:after="240"/>
        <w:ind w:left="567"/>
        <w:jc w:val="both"/>
        <w:rPr>
          <w:rFonts w:ascii="Times New Roman" w:eastAsia="Times New Roman" w:hAnsi="Times New Roman"/>
          <w:color w:val="000000"/>
        </w:rPr>
      </w:pPr>
      <w:r w:rsidRPr="004560C6">
        <w:rPr>
          <w:rFonts w:ascii="Times New Roman" w:eastAsia="Times New Roman" w:hAnsi="Times New Roman"/>
          <w:b/>
          <w:i/>
          <w:color w:val="000000"/>
        </w:rPr>
        <w:t>SIS Act</w:t>
      </w:r>
      <w:r w:rsidRPr="004560C6">
        <w:rPr>
          <w:rFonts w:ascii="Times New Roman" w:eastAsia="Times New Roman" w:hAnsi="Times New Roman"/>
          <w:color w:val="000000"/>
        </w:rPr>
        <w:t xml:space="preserve"> means </w:t>
      </w:r>
      <w:r w:rsidRPr="004560C6">
        <w:rPr>
          <w:rFonts w:ascii="Times New Roman" w:eastAsia="Times New Roman" w:hAnsi="Times New Roman"/>
          <w:i/>
          <w:color w:val="000000"/>
        </w:rPr>
        <w:t>Superannuation Industry (Supervision) Act 1993</w:t>
      </w:r>
      <w:r w:rsidRPr="004560C6">
        <w:rPr>
          <w:rFonts w:ascii="Times New Roman" w:eastAsia="Times New Roman" w:hAnsi="Times New Roman"/>
          <w:color w:val="000000"/>
        </w:rPr>
        <w:t>; and</w:t>
      </w:r>
    </w:p>
    <w:p w:rsidR="004560C6" w:rsidRPr="004560C6" w:rsidRDefault="004560C6" w:rsidP="004560C6">
      <w:pPr>
        <w:spacing w:after="240"/>
        <w:ind w:left="567"/>
        <w:jc w:val="both"/>
        <w:rPr>
          <w:rFonts w:eastAsia="Times"/>
          <w:szCs w:val="20"/>
        </w:rPr>
      </w:pPr>
      <w:r w:rsidRPr="004560C6">
        <w:rPr>
          <w:rFonts w:ascii="Times New Roman" w:eastAsia="Times New Roman" w:hAnsi="Times New Roman"/>
          <w:b/>
          <w:i/>
          <w:color w:val="000000"/>
        </w:rPr>
        <w:t>year of income</w:t>
      </w:r>
      <w:r w:rsidRPr="004560C6">
        <w:rPr>
          <w:rFonts w:ascii="Times New Roman" w:eastAsia="Times New Roman" w:hAnsi="Times New Roman"/>
          <w:color w:val="000000"/>
        </w:rPr>
        <w:t xml:space="preserve"> has the meaning given in section 10(1) of the SIS Act.</w:t>
      </w:r>
    </w:p>
    <w:p w:rsidR="004560C6" w:rsidRPr="004560C6" w:rsidRDefault="004560C6" w:rsidP="004560C6">
      <w:pPr>
        <w:spacing w:after="240"/>
        <w:ind w:left="567"/>
        <w:jc w:val="both"/>
        <w:rPr>
          <w:rFonts w:ascii="Times New Roman" w:eastAsia="Times New Roman" w:hAnsi="Times New Roman"/>
          <w:iCs/>
          <w:sz w:val="20"/>
          <w:szCs w:val="20"/>
          <w:lang w:val="x-none"/>
        </w:rPr>
      </w:pPr>
    </w:p>
    <w:p w:rsidR="004560C6" w:rsidRDefault="004560C6" w:rsidP="00834481">
      <w:pPr>
        <w:jc w:val="center"/>
        <w:rPr>
          <w:rFonts w:ascii="Arial" w:eastAsia="Times New Roman" w:hAnsi="Arial" w:cs="Arial"/>
          <w:b/>
          <w:bCs/>
          <w:sz w:val="32"/>
          <w:szCs w:val="32"/>
          <w:lang w:eastAsia="en-AU"/>
        </w:rPr>
        <w:sectPr w:rsidR="004560C6" w:rsidSect="00D8539D">
          <w:headerReference w:type="default" r:id="rId14"/>
          <w:footerReference w:type="default" r:id="rId15"/>
          <w:footnotePr>
            <w:numRestart w:val="eachSect"/>
          </w:footnotePr>
          <w:pgSz w:w="11906" w:h="16838" w:code="9"/>
          <w:pgMar w:top="1440" w:right="1440" w:bottom="1440" w:left="1440" w:header="709" w:footer="709" w:gutter="0"/>
          <w:pgNumType w:start="1"/>
          <w:cols w:space="708"/>
          <w:docGrid w:linePitch="360"/>
        </w:sectPr>
      </w:pPr>
    </w:p>
    <w:tbl>
      <w:tblPr>
        <w:tblW w:w="8751" w:type="dxa"/>
        <w:jc w:val="center"/>
        <w:tblInd w:w="-193" w:type="dxa"/>
        <w:tblLook w:val="0400" w:firstRow="0" w:lastRow="0" w:firstColumn="0" w:lastColumn="0" w:noHBand="0" w:noVBand="1"/>
      </w:tblPr>
      <w:tblGrid>
        <w:gridCol w:w="8751"/>
      </w:tblGrid>
      <w:tr w:rsidR="00F97FDA" w:rsidRPr="00D0084E" w:rsidTr="00EF7F75">
        <w:trPr>
          <w:trHeight w:val="300"/>
          <w:jc w:val="center"/>
        </w:trPr>
        <w:tc>
          <w:tcPr>
            <w:tcW w:w="8751" w:type="dxa"/>
            <w:shd w:val="clear" w:color="auto" w:fill="auto"/>
            <w:noWrap/>
            <w:vAlign w:val="bottom"/>
            <w:hideMark/>
          </w:tcPr>
          <w:p w:rsidR="00F97FDA" w:rsidRPr="00F95859" w:rsidRDefault="00F97FDA" w:rsidP="00834481">
            <w:pPr>
              <w:jc w:val="center"/>
              <w:rPr>
                <w:rFonts w:ascii="Arial" w:eastAsia="Times New Roman" w:hAnsi="Arial" w:cs="Arial"/>
                <w:sz w:val="16"/>
                <w:szCs w:val="16"/>
                <w:lang w:eastAsia="en-AU"/>
              </w:rPr>
            </w:pPr>
            <w:r w:rsidRPr="008B5DA9">
              <w:rPr>
                <w:rFonts w:ascii="Arial" w:eastAsia="Times New Roman" w:hAnsi="Arial" w:cs="Arial"/>
                <w:b/>
                <w:bCs/>
                <w:sz w:val="32"/>
                <w:szCs w:val="32"/>
                <w:lang w:eastAsia="en-AU"/>
              </w:rPr>
              <w:lastRenderedPageBreak/>
              <w:t xml:space="preserve">SRF </w:t>
            </w:r>
            <w:r w:rsidR="007C006E">
              <w:rPr>
                <w:rFonts w:ascii="Arial" w:eastAsia="Times New Roman" w:hAnsi="Arial" w:cs="Arial"/>
                <w:b/>
                <w:bCs/>
                <w:sz w:val="32"/>
                <w:szCs w:val="32"/>
                <w:lang w:eastAsia="en-AU"/>
              </w:rPr>
              <w:t>533.1</w:t>
            </w:r>
            <w:r>
              <w:rPr>
                <w:rFonts w:ascii="Arial" w:eastAsia="Times New Roman" w:hAnsi="Arial" w:cs="Arial"/>
                <w:b/>
                <w:bCs/>
                <w:sz w:val="32"/>
                <w:szCs w:val="32"/>
                <w:lang w:eastAsia="en-AU"/>
              </w:rPr>
              <w:t>:</w:t>
            </w:r>
            <w:r w:rsidRPr="008B5DA9">
              <w:rPr>
                <w:rFonts w:ascii="Arial" w:eastAsia="Times New Roman" w:hAnsi="Arial" w:cs="Arial"/>
                <w:b/>
                <w:bCs/>
                <w:sz w:val="32"/>
                <w:szCs w:val="32"/>
                <w:lang w:eastAsia="en-AU"/>
              </w:rPr>
              <w:t xml:space="preserve"> Asset Allocation</w:t>
            </w:r>
          </w:p>
        </w:tc>
      </w:tr>
    </w:tbl>
    <w:p w:rsidR="00F97FDA" w:rsidRDefault="00F97FDA" w:rsidP="00F97FDA"/>
    <w:tbl>
      <w:tblPr>
        <w:tblW w:w="8931" w:type="dxa"/>
        <w:tblInd w:w="108" w:type="dxa"/>
        <w:tblLook w:val="04A0" w:firstRow="1" w:lastRow="0" w:firstColumn="1" w:lastColumn="0" w:noHBand="0" w:noVBand="1"/>
      </w:tblPr>
      <w:tblGrid>
        <w:gridCol w:w="3261"/>
        <w:gridCol w:w="2409"/>
        <w:gridCol w:w="3261"/>
      </w:tblGrid>
      <w:tr w:rsidR="00F97FDA" w:rsidTr="00EF7F75">
        <w:tc>
          <w:tcPr>
            <w:tcW w:w="3261" w:type="dxa"/>
            <w:tcBorders>
              <w:bottom w:val="single" w:sz="4" w:space="0" w:color="auto"/>
            </w:tcBorders>
            <w:vAlign w:val="bottom"/>
          </w:tcPr>
          <w:p w:rsidR="00F97FDA" w:rsidRPr="005F2181" w:rsidRDefault="00F97FDA" w:rsidP="00834481">
            <w:pPr>
              <w:jc w:val="center"/>
              <w:rPr>
                <w:rFonts w:ascii="Arial" w:hAnsi="Arial" w:cs="Arial"/>
                <w:b/>
              </w:rPr>
            </w:pPr>
            <w:r w:rsidRPr="005F2181">
              <w:rPr>
                <w:rFonts w:ascii="Arial" w:hAnsi="Arial" w:cs="Arial"/>
                <w:b/>
              </w:rPr>
              <w:t>Australian Business Number</w:t>
            </w:r>
          </w:p>
        </w:tc>
        <w:tc>
          <w:tcPr>
            <w:tcW w:w="2409" w:type="dxa"/>
            <w:tcBorders>
              <w:bottom w:val="single" w:sz="4" w:space="0" w:color="auto"/>
            </w:tcBorders>
            <w:vAlign w:val="bottom"/>
          </w:tcPr>
          <w:p w:rsidR="00F97FDA" w:rsidRPr="005F2181" w:rsidRDefault="00F97FDA" w:rsidP="00834481">
            <w:pPr>
              <w:jc w:val="center"/>
              <w:rPr>
                <w:rFonts w:ascii="Arial" w:hAnsi="Arial" w:cs="Arial"/>
                <w:b/>
              </w:rPr>
            </w:pPr>
            <w:r>
              <w:rPr>
                <w:rFonts w:ascii="Arial" w:hAnsi="Arial" w:cs="Arial"/>
                <w:b/>
              </w:rPr>
              <w:t>Institution N</w:t>
            </w:r>
            <w:r w:rsidRPr="005F2181">
              <w:rPr>
                <w:rFonts w:ascii="Arial" w:hAnsi="Arial" w:cs="Arial"/>
                <w:b/>
              </w:rPr>
              <w:t>ame</w:t>
            </w:r>
          </w:p>
        </w:tc>
        <w:tc>
          <w:tcPr>
            <w:tcW w:w="3261" w:type="dxa"/>
            <w:vAlign w:val="bottom"/>
          </w:tcPr>
          <w:p w:rsidR="00F97FDA" w:rsidRPr="005F2181" w:rsidRDefault="00F97FDA" w:rsidP="00834481">
            <w:pPr>
              <w:jc w:val="center"/>
              <w:rPr>
                <w:rFonts w:ascii="Arial" w:hAnsi="Arial" w:cs="Arial"/>
                <w:b/>
              </w:rPr>
            </w:pPr>
          </w:p>
        </w:tc>
      </w:tr>
      <w:tr w:rsidR="00F97FDA" w:rsidTr="00EF7F75">
        <w:tc>
          <w:tcPr>
            <w:tcW w:w="3261" w:type="dxa"/>
            <w:tcBorders>
              <w:top w:val="single" w:sz="4" w:space="0" w:color="auto"/>
              <w:left w:val="single" w:sz="4" w:space="0" w:color="auto"/>
              <w:bottom w:val="single" w:sz="4" w:space="0" w:color="auto"/>
              <w:right w:val="single" w:sz="4" w:space="0" w:color="auto"/>
            </w:tcBorders>
            <w:vAlign w:val="bottom"/>
          </w:tcPr>
          <w:p w:rsidR="00F97FDA" w:rsidRPr="005F2181" w:rsidRDefault="00F97FDA" w:rsidP="00834481">
            <w:pPr>
              <w:jc w:val="center"/>
              <w:rPr>
                <w:rFonts w:ascii="Arial" w:hAnsi="Arial" w:cs="Arial"/>
                <w:b/>
              </w:rPr>
            </w:pPr>
          </w:p>
        </w:tc>
        <w:tc>
          <w:tcPr>
            <w:tcW w:w="2409" w:type="dxa"/>
            <w:tcBorders>
              <w:top w:val="single" w:sz="4" w:space="0" w:color="auto"/>
              <w:left w:val="single" w:sz="4" w:space="0" w:color="auto"/>
              <w:bottom w:val="single" w:sz="4" w:space="0" w:color="auto"/>
              <w:right w:val="single" w:sz="4" w:space="0" w:color="auto"/>
            </w:tcBorders>
            <w:vAlign w:val="bottom"/>
          </w:tcPr>
          <w:p w:rsidR="00F97FDA" w:rsidRPr="005F2181" w:rsidRDefault="00F97FDA" w:rsidP="00834481">
            <w:pPr>
              <w:jc w:val="center"/>
              <w:rPr>
                <w:rFonts w:ascii="Arial" w:hAnsi="Arial" w:cs="Arial"/>
                <w:b/>
              </w:rPr>
            </w:pPr>
          </w:p>
        </w:tc>
        <w:tc>
          <w:tcPr>
            <w:tcW w:w="3261" w:type="dxa"/>
            <w:tcBorders>
              <w:left w:val="single" w:sz="4" w:space="0" w:color="auto"/>
            </w:tcBorders>
            <w:vAlign w:val="bottom"/>
          </w:tcPr>
          <w:p w:rsidR="00F97FDA" w:rsidRPr="005F2181" w:rsidRDefault="00F97FDA" w:rsidP="00834481">
            <w:pPr>
              <w:jc w:val="center"/>
              <w:rPr>
                <w:rFonts w:ascii="Arial" w:hAnsi="Arial" w:cs="Arial"/>
                <w:b/>
              </w:rPr>
            </w:pPr>
          </w:p>
        </w:tc>
      </w:tr>
      <w:tr w:rsidR="00F97FDA" w:rsidTr="00EF7F75">
        <w:tc>
          <w:tcPr>
            <w:tcW w:w="3261" w:type="dxa"/>
            <w:tcBorders>
              <w:top w:val="single" w:sz="4" w:space="0" w:color="auto"/>
              <w:bottom w:val="single" w:sz="4" w:space="0" w:color="auto"/>
            </w:tcBorders>
            <w:vAlign w:val="bottom"/>
          </w:tcPr>
          <w:p w:rsidR="00F97FDA" w:rsidRPr="005F2181" w:rsidRDefault="00F97FDA" w:rsidP="00834481">
            <w:pPr>
              <w:jc w:val="center"/>
              <w:rPr>
                <w:rFonts w:ascii="Arial" w:hAnsi="Arial" w:cs="Arial"/>
                <w:b/>
              </w:rPr>
            </w:pPr>
            <w:r>
              <w:rPr>
                <w:rFonts w:ascii="Arial" w:hAnsi="Arial" w:cs="Arial"/>
                <w:b/>
              </w:rPr>
              <w:t>Reporting P</w:t>
            </w:r>
            <w:r w:rsidRPr="005F2181">
              <w:rPr>
                <w:rFonts w:ascii="Arial" w:hAnsi="Arial" w:cs="Arial"/>
                <w:b/>
              </w:rPr>
              <w:t>eriod</w:t>
            </w:r>
          </w:p>
        </w:tc>
        <w:tc>
          <w:tcPr>
            <w:tcW w:w="2409" w:type="dxa"/>
            <w:tcBorders>
              <w:top w:val="single" w:sz="4" w:space="0" w:color="auto"/>
              <w:bottom w:val="single" w:sz="4" w:space="0" w:color="auto"/>
            </w:tcBorders>
            <w:vAlign w:val="bottom"/>
          </w:tcPr>
          <w:p w:rsidR="00F97FDA" w:rsidRPr="005F2181" w:rsidRDefault="00F97FDA" w:rsidP="00834481">
            <w:pPr>
              <w:jc w:val="center"/>
              <w:rPr>
                <w:rFonts w:ascii="Arial" w:hAnsi="Arial" w:cs="Arial"/>
                <w:b/>
              </w:rPr>
            </w:pPr>
            <w:r>
              <w:rPr>
                <w:rFonts w:ascii="Arial" w:hAnsi="Arial" w:cs="Arial"/>
                <w:b/>
              </w:rPr>
              <w:t>Scale F</w:t>
            </w:r>
            <w:r w:rsidRPr="005F2181">
              <w:rPr>
                <w:rFonts w:ascii="Arial" w:hAnsi="Arial" w:cs="Arial"/>
                <w:b/>
              </w:rPr>
              <w:t>actor</w:t>
            </w:r>
          </w:p>
        </w:tc>
        <w:tc>
          <w:tcPr>
            <w:tcW w:w="3261" w:type="dxa"/>
            <w:tcBorders>
              <w:bottom w:val="single" w:sz="4" w:space="0" w:color="auto"/>
            </w:tcBorders>
            <w:vAlign w:val="bottom"/>
          </w:tcPr>
          <w:p w:rsidR="00F97FDA" w:rsidRPr="005F2181" w:rsidRDefault="00F97FDA" w:rsidP="00834481">
            <w:pPr>
              <w:jc w:val="center"/>
              <w:rPr>
                <w:rFonts w:ascii="Arial" w:hAnsi="Arial" w:cs="Arial"/>
                <w:b/>
              </w:rPr>
            </w:pPr>
            <w:r>
              <w:rPr>
                <w:rFonts w:ascii="Arial" w:hAnsi="Arial" w:cs="Arial"/>
                <w:b/>
              </w:rPr>
              <w:t>Reporting C</w:t>
            </w:r>
            <w:r w:rsidRPr="005F2181">
              <w:rPr>
                <w:rFonts w:ascii="Arial" w:hAnsi="Arial" w:cs="Arial"/>
                <w:b/>
              </w:rPr>
              <w:t>onsolidation</w:t>
            </w:r>
          </w:p>
        </w:tc>
      </w:tr>
      <w:tr w:rsidR="00F97FDA" w:rsidTr="00EF7F75">
        <w:tc>
          <w:tcPr>
            <w:tcW w:w="3261" w:type="dxa"/>
            <w:tcBorders>
              <w:top w:val="single" w:sz="4" w:space="0" w:color="auto"/>
              <w:left w:val="single" w:sz="4" w:space="0" w:color="auto"/>
              <w:bottom w:val="single" w:sz="4" w:space="0" w:color="auto"/>
              <w:right w:val="single" w:sz="4" w:space="0" w:color="auto"/>
            </w:tcBorders>
            <w:vAlign w:val="bottom"/>
          </w:tcPr>
          <w:p w:rsidR="00F97FDA" w:rsidRPr="005F2181" w:rsidRDefault="00F97FDA" w:rsidP="00834481">
            <w:pPr>
              <w:jc w:val="center"/>
              <w:rPr>
                <w:rFonts w:ascii="Arial" w:hAnsi="Arial" w:cs="Arial"/>
                <w:b/>
              </w:rPr>
            </w:pPr>
          </w:p>
        </w:tc>
        <w:tc>
          <w:tcPr>
            <w:tcW w:w="2409" w:type="dxa"/>
            <w:tcBorders>
              <w:top w:val="single" w:sz="4" w:space="0" w:color="auto"/>
              <w:left w:val="single" w:sz="4" w:space="0" w:color="auto"/>
              <w:bottom w:val="single" w:sz="4" w:space="0" w:color="auto"/>
              <w:right w:val="single" w:sz="4" w:space="0" w:color="auto"/>
            </w:tcBorders>
            <w:vAlign w:val="bottom"/>
          </w:tcPr>
          <w:p w:rsidR="00F97FDA" w:rsidRPr="005F2181" w:rsidRDefault="00F97FDA" w:rsidP="00834481">
            <w:pPr>
              <w:jc w:val="center"/>
              <w:rPr>
                <w:rFonts w:ascii="Arial" w:hAnsi="Arial" w:cs="Arial"/>
                <w:b/>
              </w:rPr>
            </w:pPr>
          </w:p>
        </w:tc>
        <w:tc>
          <w:tcPr>
            <w:tcW w:w="3261" w:type="dxa"/>
            <w:tcBorders>
              <w:top w:val="single" w:sz="4" w:space="0" w:color="auto"/>
              <w:left w:val="single" w:sz="4" w:space="0" w:color="auto"/>
              <w:bottom w:val="single" w:sz="4" w:space="0" w:color="auto"/>
              <w:right w:val="single" w:sz="4" w:space="0" w:color="auto"/>
            </w:tcBorders>
            <w:vAlign w:val="bottom"/>
          </w:tcPr>
          <w:p w:rsidR="00F97FDA" w:rsidRPr="005F2181" w:rsidRDefault="00F97FDA" w:rsidP="00834481">
            <w:pPr>
              <w:jc w:val="center"/>
              <w:rPr>
                <w:rFonts w:ascii="Arial" w:hAnsi="Arial" w:cs="Arial"/>
                <w:b/>
              </w:rPr>
            </w:pPr>
          </w:p>
        </w:tc>
      </w:tr>
    </w:tbl>
    <w:p w:rsidR="00F97FDA" w:rsidRDefault="00F97FDA" w:rsidP="00F97FDA"/>
    <w:p w:rsidR="004C0DF2" w:rsidRDefault="004C0DF2" w:rsidP="00F97FDA">
      <w:r>
        <w:rPr>
          <w:rFonts w:ascii="Arial" w:eastAsia="Times New Roman" w:hAnsi="Arial" w:cs="Arial"/>
          <w:b/>
          <w:bCs/>
          <w:color w:val="000000"/>
          <w:sz w:val="24"/>
          <w:szCs w:val="24"/>
          <w:lang w:eastAsia="en-AU"/>
        </w:rPr>
        <w:t>Asset Allocation</w:t>
      </w:r>
    </w:p>
    <w:p w:rsidR="004C0DF2" w:rsidRDefault="004C0DF2" w:rsidP="00F97FDA"/>
    <w:tbl>
      <w:tblPr>
        <w:tblW w:w="0" w:type="auto"/>
        <w:tblInd w:w="108" w:type="dxa"/>
        <w:tblLook w:val="04A0" w:firstRow="1" w:lastRow="0" w:firstColumn="1" w:lastColumn="0" w:noHBand="0" w:noVBand="1"/>
      </w:tblPr>
      <w:tblGrid>
        <w:gridCol w:w="8421"/>
      </w:tblGrid>
      <w:tr w:rsidR="00F97FDA" w:rsidRPr="00DE02BA" w:rsidTr="00EF7F75">
        <w:trPr>
          <w:trHeight w:val="317"/>
        </w:trPr>
        <w:tc>
          <w:tcPr>
            <w:tcW w:w="8421" w:type="dxa"/>
            <w:vAlign w:val="bottom"/>
          </w:tcPr>
          <w:p w:rsidR="00F97FDA" w:rsidRPr="00DE02BA" w:rsidRDefault="00F97FDA" w:rsidP="00EF7F75">
            <w:pPr>
              <w:numPr>
                <w:ilvl w:val="0"/>
                <w:numId w:val="6"/>
              </w:numPr>
              <w:rPr>
                <w:rFonts w:ascii="Arial" w:eastAsia="Times New Roman" w:hAnsi="Arial" w:cs="Arial"/>
                <w:b/>
                <w:lang w:eastAsia="en-AU"/>
              </w:rPr>
            </w:pPr>
            <w:r w:rsidRPr="00DE02BA">
              <w:rPr>
                <w:rFonts w:ascii="Arial" w:eastAsia="Times New Roman" w:hAnsi="Arial" w:cs="Arial"/>
                <w:b/>
                <w:lang w:eastAsia="en-AU"/>
              </w:rPr>
              <w:t>Strategic asset allocation</w:t>
            </w:r>
          </w:p>
        </w:tc>
      </w:tr>
    </w:tbl>
    <w:p w:rsidR="00F97FDA" w:rsidRPr="004F509F" w:rsidRDefault="00F97FDA" w:rsidP="00F97FDA">
      <w:pPr>
        <w:rPr>
          <w:rFonts w:ascii="Arial" w:eastAsia="Times New Roman" w:hAnsi="Arial" w:cs="Arial"/>
          <w:b/>
          <w:lang w:eastAsia="en-AU"/>
        </w:rPr>
      </w:pPr>
    </w:p>
    <w:tbl>
      <w:tblPr>
        <w:tblW w:w="8931" w:type="dxa"/>
        <w:tblInd w:w="108" w:type="dxa"/>
        <w:tblLayout w:type="fixed"/>
        <w:tblLook w:val="04A0" w:firstRow="1" w:lastRow="0" w:firstColumn="1" w:lastColumn="0" w:noHBand="0" w:noVBand="1"/>
      </w:tblPr>
      <w:tblGrid>
        <w:gridCol w:w="2977"/>
        <w:gridCol w:w="2977"/>
        <w:gridCol w:w="2977"/>
      </w:tblGrid>
      <w:tr w:rsidR="00F97FDA" w:rsidRPr="008B5DA9" w:rsidTr="008569C5">
        <w:trPr>
          <w:trHeight w:val="317"/>
        </w:trPr>
        <w:tc>
          <w:tcPr>
            <w:tcW w:w="2977" w:type="dxa"/>
            <w:tcBorders>
              <w:top w:val="single" w:sz="4" w:space="0" w:color="auto"/>
              <w:left w:val="single" w:sz="4" w:space="0" w:color="auto"/>
              <w:bottom w:val="nil"/>
              <w:right w:val="single" w:sz="4" w:space="0" w:color="auto"/>
            </w:tcBorders>
            <w:shd w:val="clear" w:color="auto" w:fill="auto"/>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Asset class</w:t>
            </w:r>
            <w:r>
              <w:rPr>
                <w:rFonts w:ascii="Arial" w:eastAsia="Times New Roman" w:hAnsi="Arial" w:cs="Arial"/>
                <w:b/>
                <w:bCs/>
                <w:sz w:val="20"/>
                <w:szCs w:val="20"/>
                <w:lang w:eastAsia="en-AU"/>
              </w:rPr>
              <w:t xml:space="preserve"> type</w:t>
            </w:r>
          </w:p>
        </w:tc>
        <w:tc>
          <w:tcPr>
            <w:tcW w:w="2977" w:type="dxa"/>
            <w:tcBorders>
              <w:top w:val="single" w:sz="4" w:space="0" w:color="auto"/>
              <w:left w:val="nil"/>
              <w:bottom w:val="nil"/>
              <w:right w:val="single" w:sz="4" w:space="0" w:color="auto"/>
            </w:tcBorders>
            <w:shd w:val="clear" w:color="auto" w:fill="auto"/>
            <w:vAlign w:val="bottom"/>
            <w:hideMark/>
          </w:tcPr>
          <w:p w:rsidR="00F97FDA" w:rsidRPr="004F509F" w:rsidRDefault="00F97FDA" w:rsidP="00834481">
            <w:pPr>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Asset d</w:t>
            </w:r>
            <w:r w:rsidRPr="004F509F">
              <w:rPr>
                <w:rFonts w:ascii="Arial" w:eastAsia="Times New Roman" w:hAnsi="Arial" w:cs="Arial"/>
                <w:b/>
                <w:bCs/>
                <w:sz w:val="20"/>
                <w:szCs w:val="20"/>
                <w:lang w:eastAsia="en-AU"/>
              </w:rPr>
              <w:t>omicile</w:t>
            </w:r>
            <w:r>
              <w:rPr>
                <w:rFonts w:ascii="Arial" w:eastAsia="Times New Roman" w:hAnsi="Arial" w:cs="Arial"/>
                <w:b/>
                <w:bCs/>
                <w:sz w:val="20"/>
                <w:szCs w:val="20"/>
                <w:lang w:eastAsia="en-AU"/>
              </w:rPr>
              <w:t xml:space="preserve"> type</w:t>
            </w:r>
          </w:p>
        </w:tc>
        <w:tc>
          <w:tcPr>
            <w:tcW w:w="2977" w:type="dxa"/>
            <w:tcBorders>
              <w:top w:val="single" w:sz="4" w:space="0" w:color="auto"/>
              <w:left w:val="nil"/>
              <w:bottom w:val="nil"/>
              <w:right w:val="dotDash" w:sz="4" w:space="0" w:color="auto"/>
            </w:tcBorders>
            <w:shd w:val="clear" w:color="auto" w:fill="auto"/>
            <w:vAlign w:val="bottom"/>
            <w:hideMark/>
          </w:tcPr>
          <w:p w:rsidR="00F97FDA" w:rsidRPr="004F509F" w:rsidRDefault="00F97FDA" w:rsidP="00834481">
            <w:pPr>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Asset l</w:t>
            </w:r>
            <w:r w:rsidRPr="004F509F">
              <w:rPr>
                <w:rFonts w:ascii="Arial" w:eastAsia="Times New Roman" w:hAnsi="Arial" w:cs="Arial"/>
                <w:b/>
                <w:bCs/>
                <w:sz w:val="20"/>
                <w:szCs w:val="20"/>
                <w:lang w:eastAsia="en-AU"/>
              </w:rPr>
              <w:t>isting</w:t>
            </w:r>
            <w:r>
              <w:rPr>
                <w:rFonts w:ascii="Arial" w:eastAsia="Times New Roman" w:hAnsi="Arial" w:cs="Arial"/>
                <w:b/>
                <w:bCs/>
                <w:sz w:val="20"/>
                <w:szCs w:val="20"/>
                <w:lang w:eastAsia="en-AU"/>
              </w:rPr>
              <w:t xml:space="preserve"> type</w:t>
            </w:r>
          </w:p>
        </w:tc>
      </w:tr>
      <w:tr w:rsidR="00F97FDA" w:rsidRPr="008B5DA9" w:rsidTr="008569C5">
        <w:trPr>
          <w:trHeight w:val="317"/>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(1)</w:t>
            </w:r>
          </w:p>
        </w:tc>
        <w:tc>
          <w:tcPr>
            <w:tcW w:w="2977" w:type="dxa"/>
            <w:tcBorders>
              <w:top w:val="nil"/>
              <w:left w:val="nil"/>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(2)</w:t>
            </w:r>
          </w:p>
        </w:tc>
        <w:tc>
          <w:tcPr>
            <w:tcW w:w="2977" w:type="dxa"/>
            <w:tcBorders>
              <w:top w:val="nil"/>
              <w:left w:val="nil"/>
              <w:bottom w:val="single" w:sz="4" w:space="0" w:color="auto"/>
              <w:right w:val="dotDash" w:sz="4" w:space="0" w:color="auto"/>
            </w:tcBorders>
            <w:shd w:val="clear" w:color="auto" w:fill="auto"/>
            <w:noWrap/>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(3)</w:t>
            </w:r>
          </w:p>
        </w:tc>
      </w:tr>
      <w:tr w:rsidR="00F97FDA" w:rsidRPr="008B5DA9" w:rsidTr="008569C5">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Cash</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Australia</w:t>
            </w:r>
            <w:r w:rsidR="00331C63">
              <w:rPr>
                <w:rFonts w:ascii="Arial" w:eastAsia="Times New Roman" w:hAnsi="Arial" w:cs="Arial"/>
                <w:sz w:val="20"/>
                <w:szCs w:val="20"/>
                <w:lang w:eastAsia="en-AU"/>
              </w:rPr>
              <w:t xml:space="preserve"> domicile</w:t>
            </w:r>
          </w:p>
        </w:tc>
        <w:tc>
          <w:tcPr>
            <w:tcW w:w="2977" w:type="dxa"/>
            <w:tcBorders>
              <w:top w:val="single" w:sz="4" w:space="0" w:color="auto"/>
              <w:left w:val="single" w:sz="4" w:space="0" w:color="auto"/>
              <w:bottom w:val="single" w:sz="4" w:space="0" w:color="auto"/>
              <w:right w:val="dotDash"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Listed</w:t>
            </w:r>
          </w:p>
        </w:tc>
      </w:tr>
      <w:tr w:rsidR="00F97FDA" w:rsidRPr="008B5DA9" w:rsidTr="008569C5">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Fixed Income</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International</w:t>
            </w:r>
            <w:r w:rsidR="00331C63">
              <w:rPr>
                <w:rFonts w:ascii="Arial" w:eastAsia="Times New Roman" w:hAnsi="Arial" w:cs="Arial"/>
                <w:sz w:val="20"/>
                <w:szCs w:val="20"/>
                <w:lang w:eastAsia="en-AU"/>
              </w:rPr>
              <w:t xml:space="preserve"> domicile</w:t>
            </w:r>
          </w:p>
        </w:tc>
        <w:tc>
          <w:tcPr>
            <w:tcW w:w="2977" w:type="dxa"/>
            <w:tcBorders>
              <w:top w:val="single" w:sz="4" w:space="0" w:color="auto"/>
              <w:left w:val="single" w:sz="4" w:space="0" w:color="auto"/>
              <w:bottom w:val="single" w:sz="4" w:space="0" w:color="auto"/>
              <w:right w:val="dotDash"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Unlisted</w:t>
            </w:r>
          </w:p>
        </w:tc>
      </w:tr>
      <w:tr w:rsidR="00F97FDA" w:rsidRPr="008B5DA9" w:rsidTr="008569C5">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Equity</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N</w:t>
            </w:r>
            <w:r>
              <w:rPr>
                <w:rFonts w:ascii="Arial" w:eastAsia="Times New Roman" w:hAnsi="Arial" w:cs="Arial"/>
                <w:sz w:val="20"/>
                <w:szCs w:val="20"/>
                <w:lang w:eastAsia="en-AU"/>
              </w:rPr>
              <w:t>ot applicable</w:t>
            </w:r>
          </w:p>
        </w:tc>
        <w:tc>
          <w:tcPr>
            <w:tcW w:w="2977" w:type="dxa"/>
            <w:tcBorders>
              <w:top w:val="single" w:sz="4" w:space="0" w:color="auto"/>
              <w:left w:val="single" w:sz="4" w:space="0" w:color="auto"/>
              <w:bottom w:val="single" w:sz="4" w:space="0" w:color="auto"/>
              <w:right w:val="dotDash"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N</w:t>
            </w:r>
            <w:r>
              <w:rPr>
                <w:rFonts w:ascii="Arial" w:eastAsia="Times New Roman" w:hAnsi="Arial" w:cs="Arial"/>
                <w:sz w:val="20"/>
                <w:szCs w:val="20"/>
                <w:lang w:eastAsia="en-AU"/>
              </w:rPr>
              <w:t>ot applicable</w:t>
            </w:r>
          </w:p>
        </w:tc>
      </w:tr>
      <w:tr w:rsidR="00F97FDA" w:rsidRPr="008B5DA9" w:rsidTr="008569C5">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Property</w:t>
            </w:r>
          </w:p>
        </w:tc>
        <w:tc>
          <w:tcPr>
            <w:tcW w:w="2977" w:type="dxa"/>
            <w:tcBorders>
              <w:top w:val="single" w:sz="4" w:space="0" w:color="auto"/>
              <w:left w:val="single" w:sz="4" w:space="0" w:color="auto"/>
              <w:bottom w:val="nil"/>
              <w:right w:val="nil"/>
            </w:tcBorders>
            <w:shd w:val="clear" w:color="auto" w:fill="auto"/>
            <w:vAlign w:val="bottom"/>
            <w:hideMark/>
          </w:tcPr>
          <w:p w:rsidR="00F97FDA" w:rsidRPr="004F509F" w:rsidRDefault="00F97FDA" w:rsidP="00834481">
            <w:pPr>
              <w:jc w:val="center"/>
              <w:rPr>
                <w:rFonts w:ascii="Arial" w:eastAsia="Times New Roman" w:hAnsi="Arial" w:cs="Arial"/>
                <w:sz w:val="20"/>
                <w:szCs w:val="20"/>
                <w:lang w:eastAsia="en-AU"/>
              </w:rPr>
            </w:pPr>
          </w:p>
        </w:tc>
        <w:tc>
          <w:tcPr>
            <w:tcW w:w="2977" w:type="dxa"/>
            <w:tcBorders>
              <w:top w:val="single" w:sz="4" w:space="0" w:color="auto"/>
              <w:left w:val="nil"/>
              <w:bottom w:val="nil"/>
            </w:tcBorders>
            <w:shd w:val="clear" w:color="auto" w:fill="auto"/>
            <w:vAlign w:val="bottom"/>
            <w:hideMark/>
          </w:tcPr>
          <w:p w:rsidR="00F97FDA" w:rsidRPr="004F509F" w:rsidRDefault="00F97FDA" w:rsidP="00834481">
            <w:pPr>
              <w:jc w:val="center"/>
              <w:rPr>
                <w:rFonts w:ascii="Arial" w:eastAsia="Times New Roman" w:hAnsi="Arial" w:cs="Arial"/>
                <w:sz w:val="20"/>
                <w:szCs w:val="20"/>
                <w:lang w:eastAsia="en-AU"/>
              </w:rPr>
            </w:pPr>
          </w:p>
        </w:tc>
      </w:tr>
      <w:tr w:rsidR="00F97FDA" w:rsidRPr="008B5DA9" w:rsidTr="008569C5">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Infrastructure</w:t>
            </w:r>
          </w:p>
        </w:tc>
        <w:tc>
          <w:tcPr>
            <w:tcW w:w="2977" w:type="dxa"/>
            <w:tcBorders>
              <w:top w:val="nil"/>
              <w:left w:val="single" w:sz="4" w:space="0" w:color="auto"/>
              <w:bottom w:val="nil"/>
              <w:right w:val="nil"/>
            </w:tcBorders>
            <w:shd w:val="clear" w:color="auto" w:fill="auto"/>
            <w:vAlign w:val="bottom"/>
            <w:hideMark/>
          </w:tcPr>
          <w:p w:rsidR="00F97FDA" w:rsidRPr="004F509F" w:rsidRDefault="00F97FDA" w:rsidP="00834481">
            <w:pPr>
              <w:jc w:val="center"/>
              <w:rPr>
                <w:rFonts w:ascii="Arial" w:eastAsia="Times New Roman" w:hAnsi="Arial" w:cs="Arial"/>
                <w:sz w:val="20"/>
                <w:szCs w:val="20"/>
                <w:lang w:eastAsia="en-AU"/>
              </w:rPr>
            </w:pPr>
          </w:p>
        </w:tc>
        <w:tc>
          <w:tcPr>
            <w:tcW w:w="2977" w:type="dxa"/>
            <w:tcBorders>
              <w:top w:val="nil"/>
              <w:left w:val="nil"/>
              <w:bottom w:val="nil"/>
            </w:tcBorders>
            <w:shd w:val="clear" w:color="auto" w:fill="auto"/>
            <w:vAlign w:val="bottom"/>
            <w:hideMark/>
          </w:tcPr>
          <w:p w:rsidR="00F97FDA" w:rsidRPr="004F509F" w:rsidRDefault="00F97FDA" w:rsidP="00834481">
            <w:pPr>
              <w:jc w:val="center"/>
              <w:rPr>
                <w:rFonts w:ascii="Arial" w:eastAsia="Times New Roman" w:hAnsi="Arial" w:cs="Arial"/>
                <w:sz w:val="20"/>
                <w:szCs w:val="20"/>
                <w:lang w:eastAsia="en-AU"/>
              </w:rPr>
            </w:pPr>
          </w:p>
        </w:tc>
      </w:tr>
      <w:tr w:rsidR="00F97FDA" w:rsidRPr="008B5DA9" w:rsidTr="008569C5">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Commodities</w:t>
            </w:r>
          </w:p>
        </w:tc>
        <w:tc>
          <w:tcPr>
            <w:tcW w:w="2977" w:type="dxa"/>
            <w:tcBorders>
              <w:top w:val="nil"/>
              <w:left w:val="single" w:sz="4" w:space="0" w:color="auto"/>
              <w:bottom w:val="nil"/>
              <w:right w:val="nil"/>
            </w:tcBorders>
            <w:shd w:val="clear" w:color="auto" w:fill="auto"/>
            <w:vAlign w:val="bottom"/>
            <w:hideMark/>
          </w:tcPr>
          <w:p w:rsidR="00F97FDA" w:rsidRPr="004F509F" w:rsidRDefault="00F97FDA" w:rsidP="00834481">
            <w:pPr>
              <w:jc w:val="center"/>
              <w:rPr>
                <w:rFonts w:ascii="Arial" w:eastAsia="Times New Roman" w:hAnsi="Arial" w:cs="Arial"/>
                <w:sz w:val="20"/>
                <w:szCs w:val="20"/>
                <w:lang w:eastAsia="en-AU"/>
              </w:rPr>
            </w:pPr>
          </w:p>
        </w:tc>
        <w:tc>
          <w:tcPr>
            <w:tcW w:w="2977" w:type="dxa"/>
            <w:tcBorders>
              <w:top w:val="nil"/>
              <w:left w:val="nil"/>
              <w:bottom w:val="nil"/>
            </w:tcBorders>
            <w:shd w:val="clear" w:color="auto" w:fill="auto"/>
            <w:vAlign w:val="bottom"/>
            <w:hideMark/>
          </w:tcPr>
          <w:p w:rsidR="00F97FDA" w:rsidRPr="004F509F" w:rsidRDefault="00F97FDA" w:rsidP="00834481">
            <w:pPr>
              <w:jc w:val="center"/>
              <w:rPr>
                <w:rFonts w:ascii="Arial" w:eastAsia="Times New Roman" w:hAnsi="Arial" w:cs="Arial"/>
                <w:sz w:val="20"/>
                <w:szCs w:val="20"/>
                <w:lang w:eastAsia="en-AU"/>
              </w:rPr>
            </w:pPr>
          </w:p>
        </w:tc>
      </w:tr>
      <w:tr w:rsidR="00F97FDA" w:rsidRPr="008B5DA9" w:rsidTr="008569C5">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331C63">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 xml:space="preserve">Other </w:t>
            </w:r>
          </w:p>
        </w:tc>
        <w:tc>
          <w:tcPr>
            <w:tcW w:w="2977" w:type="dxa"/>
            <w:tcBorders>
              <w:top w:val="nil"/>
              <w:left w:val="single" w:sz="4" w:space="0" w:color="auto"/>
              <w:bottom w:val="nil"/>
              <w:right w:val="nil"/>
            </w:tcBorders>
            <w:shd w:val="clear" w:color="auto" w:fill="auto"/>
            <w:vAlign w:val="bottom"/>
            <w:hideMark/>
          </w:tcPr>
          <w:p w:rsidR="00F97FDA" w:rsidRPr="004F509F" w:rsidRDefault="00F97FDA" w:rsidP="00834481">
            <w:pPr>
              <w:jc w:val="center"/>
              <w:rPr>
                <w:rFonts w:ascii="Arial" w:eastAsia="Times New Roman" w:hAnsi="Arial" w:cs="Arial"/>
                <w:sz w:val="20"/>
                <w:szCs w:val="20"/>
                <w:lang w:eastAsia="en-AU"/>
              </w:rPr>
            </w:pPr>
          </w:p>
        </w:tc>
        <w:tc>
          <w:tcPr>
            <w:tcW w:w="2977" w:type="dxa"/>
            <w:tcBorders>
              <w:top w:val="nil"/>
              <w:left w:val="nil"/>
              <w:bottom w:val="nil"/>
              <w:right w:val="nil"/>
            </w:tcBorders>
            <w:shd w:val="clear" w:color="auto" w:fill="auto"/>
            <w:vAlign w:val="bottom"/>
            <w:hideMark/>
          </w:tcPr>
          <w:p w:rsidR="00F97FDA" w:rsidRPr="004F509F" w:rsidRDefault="00F97FDA" w:rsidP="00834481">
            <w:pPr>
              <w:jc w:val="center"/>
              <w:rPr>
                <w:rFonts w:ascii="Arial" w:eastAsia="Times New Roman" w:hAnsi="Arial" w:cs="Arial"/>
                <w:sz w:val="20"/>
                <w:szCs w:val="20"/>
                <w:lang w:eastAsia="en-AU"/>
              </w:rPr>
            </w:pPr>
          </w:p>
        </w:tc>
      </w:tr>
    </w:tbl>
    <w:p w:rsidR="00F97FDA" w:rsidRDefault="00F97FDA" w:rsidP="00F97FDA">
      <w:pPr>
        <w:rPr>
          <w:rFonts w:ascii="Arial" w:eastAsia="Times New Roman" w:hAnsi="Arial" w:cs="Arial"/>
          <w:b/>
          <w:lang w:eastAsia="en-AU"/>
        </w:rPr>
      </w:pPr>
    </w:p>
    <w:tbl>
      <w:tblPr>
        <w:tblW w:w="8931" w:type="dxa"/>
        <w:tblInd w:w="108" w:type="dxa"/>
        <w:tblLayout w:type="fixed"/>
        <w:tblLook w:val="04A0" w:firstRow="1" w:lastRow="0" w:firstColumn="1" w:lastColumn="0" w:noHBand="0" w:noVBand="1"/>
      </w:tblPr>
      <w:tblGrid>
        <w:gridCol w:w="2232"/>
        <w:gridCol w:w="2233"/>
        <w:gridCol w:w="2233"/>
        <w:gridCol w:w="2233"/>
      </w:tblGrid>
      <w:tr w:rsidR="00F97FDA" w:rsidRPr="004F509F" w:rsidTr="008569C5">
        <w:trPr>
          <w:trHeight w:val="317"/>
        </w:trPr>
        <w:tc>
          <w:tcPr>
            <w:tcW w:w="2232" w:type="dxa"/>
            <w:tcBorders>
              <w:top w:val="single" w:sz="4" w:space="0" w:color="auto"/>
              <w:left w:val="dotDash" w:sz="4" w:space="0" w:color="auto"/>
              <w:bottom w:val="nil"/>
              <w:right w:val="single" w:sz="4" w:space="0" w:color="auto"/>
            </w:tcBorders>
            <w:shd w:val="clear" w:color="auto" w:fill="auto"/>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 xml:space="preserve">Benchmark asset allocation </w:t>
            </w:r>
          </w:p>
        </w:tc>
        <w:tc>
          <w:tcPr>
            <w:tcW w:w="2233" w:type="dxa"/>
            <w:tcBorders>
              <w:top w:val="single" w:sz="4" w:space="0" w:color="auto"/>
              <w:left w:val="single" w:sz="4" w:space="0" w:color="auto"/>
              <w:bottom w:val="nil"/>
              <w:right w:val="single" w:sz="4" w:space="0" w:color="auto"/>
            </w:tcBorders>
            <w:shd w:val="clear" w:color="auto" w:fill="auto"/>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i/>
                <w:iCs/>
                <w:sz w:val="20"/>
                <w:szCs w:val="20"/>
                <w:lang w:eastAsia="en-AU"/>
              </w:rPr>
              <w:t>if applicable,</w:t>
            </w:r>
            <w:r>
              <w:rPr>
                <w:rFonts w:ascii="Arial" w:eastAsia="Times New Roman" w:hAnsi="Arial" w:cs="Arial"/>
                <w:i/>
                <w:iCs/>
                <w:sz w:val="20"/>
                <w:szCs w:val="20"/>
                <w:lang w:eastAsia="en-AU"/>
              </w:rPr>
              <w:t xml:space="preserve"> </w:t>
            </w:r>
            <w:r>
              <w:rPr>
                <w:rFonts w:ascii="Arial" w:eastAsia="Times New Roman" w:hAnsi="Arial" w:cs="Arial"/>
                <w:b/>
                <w:bCs/>
                <w:sz w:val="20"/>
                <w:szCs w:val="20"/>
                <w:lang w:eastAsia="en-AU"/>
              </w:rPr>
              <w:t>lo</w:t>
            </w:r>
            <w:r w:rsidRPr="004F509F">
              <w:rPr>
                <w:rFonts w:ascii="Arial" w:eastAsia="Times New Roman" w:hAnsi="Arial" w:cs="Arial"/>
                <w:b/>
                <w:bCs/>
                <w:sz w:val="20"/>
                <w:szCs w:val="20"/>
                <w:lang w:eastAsia="en-AU"/>
              </w:rPr>
              <w:t>wer end of asset allocation range</w:t>
            </w:r>
          </w:p>
        </w:tc>
        <w:tc>
          <w:tcPr>
            <w:tcW w:w="2233" w:type="dxa"/>
            <w:tcBorders>
              <w:top w:val="single" w:sz="4" w:space="0" w:color="auto"/>
              <w:left w:val="nil"/>
              <w:bottom w:val="nil"/>
              <w:right w:val="single" w:sz="4" w:space="0" w:color="auto"/>
            </w:tcBorders>
            <w:shd w:val="clear" w:color="auto" w:fill="auto"/>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i/>
                <w:iCs/>
                <w:sz w:val="20"/>
                <w:szCs w:val="20"/>
                <w:lang w:eastAsia="en-AU"/>
              </w:rPr>
              <w:t>if applicable,</w:t>
            </w:r>
            <w:r>
              <w:rPr>
                <w:rFonts w:ascii="Arial" w:eastAsia="Times New Roman" w:hAnsi="Arial" w:cs="Arial"/>
                <w:i/>
                <w:iCs/>
                <w:sz w:val="20"/>
                <w:szCs w:val="20"/>
                <w:lang w:eastAsia="en-AU"/>
              </w:rPr>
              <w:t xml:space="preserve"> </w:t>
            </w:r>
            <w:r>
              <w:rPr>
                <w:rFonts w:ascii="Arial" w:eastAsia="Times New Roman" w:hAnsi="Arial" w:cs="Arial"/>
                <w:b/>
                <w:bCs/>
                <w:sz w:val="20"/>
                <w:szCs w:val="20"/>
                <w:lang w:eastAsia="en-AU"/>
              </w:rPr>
              <w:t>u</w:t>
            </w:r>
            <w:r w:rsidRPr="004F509F">
              <w:rPr>
                <w:rFonts w:ascii="Arial" w:eastAsia="Times New Roman" w:hAnsi="Arial" w:cs="Arial"/>
                <w:b/>
                <w:bCs/>
                <w:sz w:val="20"/>
                <w:szCs w:val="20"/>
                <w:lang w:eastAsia="en-AU"/>
              </w:rPr>
              <w:t>pper end of asset allocation range</w:t>
            </w:r>
          </w:p>
        </w:tc>
        <w:tc>
          <w:tcPr>
            <w:tcW w:w="2233" w:type="dxa"/>
            <w:tcBorders>
              <w:top w:val="single" w:sz="4" w:space="0" w:color="auto"/>
              <w:left w:val="nil"/>
              <w:bottom w:val="nil"/>
              <w:right w:val="single" w:sz="4" w:space="0" w:color="auto"/>
            </w:tcBorders>
            <w:shd w:val="clear" w:color="auto" w:fill="auto"/>
            <w:vAlign w:val="bottom"/>
            <w:hideMark/>
          </w:tcPr>
          <w:p w:rsidR="00F97FDA" w:rsidRPr="004F509F" w:rsidRDefault="00F97FDA" w:rsidP="002712FD">
            <w:pPr>
              <w:jc w:val="center"/>
              <w:rPr>
                <w:rFonts w:ascii="Arial" w:eastAsia="Times New Roman" w:hAnsi="Arial" w:cs="Arial"/>
                <w:b/>
                <w:bCs/>
                <w:sz w:val="20"/>
                <w:szCs w:val="20"/>
                <w:lang w:eastAsia="en-AU"/>
              </w:rPr>
            </w:pPr>
            <w:r w:rsidRPr="004F509F">
              <w:rPr>
                <w:rFonts w:ascii="Arial" w:eastAsia="Times New Roman" w:hAnsi="Arial" w:cs="Arial"/>
                <w:i/>
                <w:iCs/>
                <w:sz w:val="20"/>
                <w:szCs w:val="20"/>
                <w:lang w:eastAsia="en-AU"/>
              </w:rPr>
              <w:t>if applicable,</w:t>
            </w:r>
            <w:r>
              <w:rPr>
                <w:rFonts w:ascii="Arial" w:eastAsia="Times New Roman" w:hAnsi="Arial" w:cs="Arial"/>
                <w:i/>
                <w:iCs/>
                <w:sz w:val="20"/>
                <w:szCs w:val="20"/>
                <w:lang w:eastAsia="en-AU"/>
              </w:rPr>
              <w:t xml:space="preserve"> </w:t>
            </w:r>
            <w:r w:rsidR="002712FD">
              <w:rPr>
                <w:rFonts w:ascii="Arial" w:eastAsia="Times New Roman" w:hAnsi="Arial" w:cs="Arial"/>
                <w:b/>
                <w:iCs/>
                <w:sz w:val="20"/>
                <w:szCs w:val="20"/>
                <w:lang w:eastAsia="en-AU"/>
              </w:rPr>
              <w:t>currency hedging ratio</w:t>
            </w:r>
          </w:p>
        </w:tc>
      </w:tr>
      <w:tr w:rsidR="00F97FDA" w:rsidRPr="004F509F" w:rsidTr="008569C5">
        <w:trPr>
          <w:trHeight w:val="317"/>
        </w:trPr>
        <w:tc>
          <w:tcPr>
            <w:tcW w:w="2232" w:type="dxa"/>
            <w:tcBorders>
              <w:top w:val="nil"/>
              <w:left w:val="dotDash"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(4)</w:t>
            </w:r>
          </w:p>
        </w:tc>
        <w:tc>
          <w:tcPr>
            <w:tcW w:w="2233" w:type="dxa"/>
            <w:tcBorders>
              <w:top w:val="nil"/>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(5)</w:t>
            </w:r>
          </w:p>
        </w:tc>
        <w:tc>
          <w:tcPr>
            <w:tcW w:w="2233" w:type="dxa"/>
            <w:tcBorders>
              <w:top w:val="nil"/>
              <w:left w:val="nil"/>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(6)</w:t>
            </w:r>
          </w:p>
        </w:tc>
        <w:tc>
          <w:tcPr>
            <w:tcW w:w="2233" w:type="dxa"/>
            <w:tcBorders>
              <w:top w:val="nil"/>
              <w:left w:val="nil"/>
              <w:bottom w:val="single" w:sz="4" w:space="0" w:color="auto"/>
              <w:right w:val="single" w:sz="4" w:space="0" w:color="auto"/>
            </w:tcBorders>
            <w:shd w:val="clear" w:color="auto" w:fill="auto"/>
            <w:noWrap/>
            <w:vAlign w:val="bottom"/>
            <w:hideMark/>
          </w:tcPr>
          <w:p w:rsidR="00F97FDA" w:rsidRPr="004F509F" w:rsidRDefault="00F97FDA" w:rsidP="00834481">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(7)</w:t>
            </w:r>
          </w:p>
        </w:tc>
      </w:tr>
      <w:tr w:rsidR="00F97FDA" w:rsidRPr="004F509F" w:rsidTr="008569C5">
        <w:trPr>
          <w:trHeight w:val="317"/>
        </w:trPr>
        <w:tc>
          <w:tcPr>
            <w:tcW w:w="2232" w:type="dxa"/>
            <w:tcBorders>
              <w:top w:val="single" w:sz="4" w:space="0" w:color="auto"/>
              <w:left w:val="dotDash" w:sz="4" w:space="0" w:color="auto"/>
              <w:bottom w:val="single" w:sz="4" w:space="0" w:color="auto"/>
              <w:right w:val="single" w:sz="4" w:space="0" w:color="auto"/>
            </w:tcBorders>
            <w:shd w:val="clear" w:color="auto" w:fill="auto"/>
            <w:noWrap/>
            <w:vAlign w:val="bottom"/>
            <w:hideMark/>
          </w:tcPr>
          <w:p w:rsidR="00F97FDA" w:rsidRPr="004F509F" w:rsidRDefault="00F97FDA" w:rsidP="00834481">
            <w:pPr>
              <w:rPr>
                <w:rFonts w:ascii="Arial" w:eastAsia="Times New Roman" w:hAnsi="Arial" w:cs="Arial"/>
                <w:sz w:val="20"/>
                <w:szCs w:val="20"/>
                <w:lang w:eastAsia="en-AU"/>
              </w:rPr>
            </w:pPr>
          </w:p>
        </w:tc>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rPr>
                <w:rFonts w:ascii="Arial" w:eastAsia="Times New Roman" w:hAnsi="Arial" w:cs="Arial"/>
                <w:sz w:val="20"/>
                <w:szCs w:val="20"/>
                <w:lang w:eastAsia="en-AU"/>
              </w:rPr>
            </w:pPr>
          </w:p>
        </w:tc>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rPr>
                <w:rFonts w:ascii="Arial" w:eastAsia="Times New Roman" w:hAnsi="Arial" w:cs="Arial"/>
                <w:sz w:val="20"/>
                <w:szCs w:val="20"/>
                <w:lang w:eastAsia="en-AU"/>
              </w:rPr>
            </w:pPr>
          </w:p>
        </w:tc>
        <w:tc>
          <w:tcPr>
            <w:tcW w:w="2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7FDA" w:rsidRPr="004F509F" w:rsidRDefault="00F97FDA" w:rsidP="00834481">
            <w:pPr>
              <w:rPr>
                <w:rFonts w:ascii="Arial" w:eastAsia="Times New Roman" w:hAnsi="Arial" w:cs="Arial"/>
                <w:sz w:val="20"/>
                <w:szCs w:val="20"/>
                <w:lang w:eastAsia="en-AU"/>
              </w:rPr>
            </w:pPr>
          </w:p>
        </w:tc>
      </w:tr>
    </w:tbl>
    <w:p w:rsidR="00F97FDA" w:rsidRDefault="00F97FDA" w:rsidP="00F97FDA">
      <w:pPr>
        <w:rPr>
          <w:rFonts w:ascii="Arial" w:eastAsia="Times New Roman" w:hAnsi="Arial" w:cs="Arial"/>
          <w:b/>
          <w:lang w:eastAsia="en-AU"/>
        </w:rPr>
      </w:pPr>
    </w:p>
    <w:tbl>
      <w:tblPr>
        <w:tblW w:w="0" w:type="auto"/>
        <w:tblInd w:w="108" w:type="dxa"/>
        <w:tblLook w:val="04A0" w:firstRow="1" w:lastRow="0" w:firstColumn="1" w:lastColumn="0" w:noHBand="0" w:noVBand="1"/>
      </w:tblPr>
      <w:tblGrid>
        <w:gridCol w:w="8421"/>
      </w:tblGrid>
      <w:tr w:rsidR="00F97FDA" w:rsidRPr="00DE02BA" w:rsidTr="00EF7F75">
        <w:trPr>
          <w:trHeight w:val="317"/>
        </w:trPr>
        <w:tc>
          <w:tcPr>
            <w:tcW w:w="8421" w:type="dxa"/>
            <w:vAlign w:val="bottom"/>
          </w:tcPr>
          <w:p w:rsidR="00F97FDA" w:rsidRPr="00DE02BA" w:rsidRDefault="00832D36" w:rsidP="00EF7F75">
            <w:pPr>
              <w:numPr>
                <w:ilvl w:val="0"/>
                <w:numId w:val="6"/>
              </w:numPr>
              <w:rPr>
                <w:rFonts w:ascii="Arial" w:eastAsia="Times New Roman" w:hAnsi="Arial" w:cs="Arial"/>
                <w:b/>
                <w:lang w:eastAsia="en-AU"/>
              </w:rPr>
            </w:pPr>
            <w:r>
              <w:rPr>
                <w:rFonts w:ascii="Arial" w:eastAsia="Times New Roman" w:hAnsi="Arial" w:cs="Arial"/>
                <w:b/>
                <w:lang w:eastAsia="en-AU"/>
              </w:rPr>
              <w:t>Directly held and indirectly held investments</w:t>
            </w:r>
          </w:p>
        </w:tc>
      </w:tr>
    </w:tbl>
    <w:p w:rsidR="00F97FDA" w:rsidRDefault="00F97FDA" w:rsidP="00F97FDA">
      <w:pPr>
        <w:rPr>
          <w:rFonts w:ascii="Arial" w:eastAsia="Times New Roman" w:hAnsi="Arial" w:cs="Arial"/>
          <w:b/>
          <w:lang w:eastAsia="en-AU"/>
        </w:rPr>
      </w:pPr>
    </w:p>
    <w:tbl>
      <w:tblPr>
        <w:tblW w:w="9167" w:type="dxa"/>
        <w:tblInd w:w="108" w:type="dxa"/>
        <w:tblLayout w:type="fixed"/>
        <w:tblLook w:val="04A0" w:firstRow="1" w:lastRow="0" w:firstColumn="1" w:lastColumn="0" w:noHBand="0" w:noVBand="1"/>
      </w:tblPr>
      <w:tblGrid>
        <w:gridCol w:w="2977"/>
        <w:gridCol w:w="2977"/>
        <w:gridCol w:w="2977"/>
        <w:gridCol w:w="236"/>
      </w:tblGrid>
      <w:tr w:rsidR="004C0DF2" w:rsidRPr="004F509F" w:rsidTr="007C006E">
        <w:trPr>
          <w:gridAfter w:val="1"/>
          <w:wAfter w:w="236" w:type="dxa"/>
          <w:trHeight w:val="315"/>
        </w:trPr>
        <w:tc>
          <w:tcPr>
            <w:tcW w:w="2977" w:type="dxa"/>
            <w:tcBorders>
              <w:top w:val="single" w:sz="4" w:space="0" w:color="auto"/>
              <w:left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Asset class</w:t>
            </w:r>
            <w:r>
              <w:rPr>
                <w:rFonts w:ascii="Arial" w:eastAsia="Times New Roman" w:hAnsi="Arial" w:cs="Arial"/>
                <w:b/>
                <w:bCs/>
                <w:sz w:val="20"/>
                <w:szCs w:val="20"/>
                <w:lang w:eastAsia="en-AU"/>
              </w:rPr>
              <w:t xml:space="preserve"> type</w:t>
            </w:r>
          </w:p>
        </w:tc>
        <w:tc>
          <w:tcPr>
            <w:tcW w:w="2977" w:type="dxa"/>
            <w:tcBorders>
              <w:top w:val="single" w:sz="4" w:space="0" w:color="auto"/>
              <w:left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Asset d</w:t>
            </w:r>
            <w:r w:rsidRPr="004F509F">
              <w:rPr>
                <w:rFonts w:ascii="Arial" w:eastAsia="Times New Roman" w:hAnsi="Arial" w:cs="Arial"/>
                <w:b/>
                <w:bCs/>
                <w:sz w:val="20"/>
                <w:szCs w:val="20"/>
                <w:lang w:eastAsia="en-AU"/>
              </w:rPr>
              <w:t>omicile</w:t>
            </w:r>
            <w:r>
              <w:rPr>
                <w:rFonts w:ascii="Arial" w:eastAsia="Times New Roman" w:hAnsi="Arial" w:cs="Arial"/>
                <w:b/>
                <w:bCs/>
                <w:sz w:val="20"/>
                <w:szCs w:val="20"/>
                <w:lang w:eastAsia="en-AU"/>
              </w:rPr>
              <w:t xml:space="preserve"> type</w:t>
            </w:r>
          </w:p>
        </w:tc>
        <w:tc>
          <w:tcPr>
            <w:tcW w:w="2977" w:type="dxa"/>
            <w:tcBorders>
              <w:top w:val="single" w:sz="4" w:space="0" w:color="auto"/>
              <w:left w:val="single" w:sz="4" w:space="0" w:color="auto"/>
              <w:bottom w:val="nil"/>
              <w:right w:val="dotDash"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Asset l</w:t>
            </w:r>
            <w:r w:rsidRPr="004F509F">
              <w:rPr>
                <w:rFonts w:ascii="Arial" w:eastAsia="Times New Roman" w:hAnsi="Arial" w:cs="Arial"/>
                <w:b/>
                <w:bCs/>
                <w:sz w:val="20"/>
                <w:szCs w:val="20"/>
                <w:lang w:eastAsia="en-AU"/>
              </w:rPr>
              <w:t>isting</w:t>
            </w:r>
            <w:r>
              <w:rPr>
                <w:rFonts w:ascii="Arial" w:eastAsia="Times New Roman" w:hAnsi="Arial" w:cs="Arial"/>
                <w:b/>
                <w:bCs/>
                <w:sz w:val="20"/>
                <w:szCs w:val="20"/>
                <w:lang w:eastAsia="en-AU"/>
              </w:rPr>
              <w:t xml:space="preserve"> type</w:t>
            </w:r>
          </w:p>
        </w:tc>
      </w:tr>
      <w:tr w:rsidR="004C0DF2" w:rsidRPr="004F509F" w:rsidTr="007C006E">
        <w:trPr>
          <w:gridAfter w:val="1"/>
          <w:wAfter w:w="236" w:type="dxa"/>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(1)</w:t>
            </w: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(2)</w:t>
            </w:r>
          </w:p>
        </w:tc>
        <w:tc>
          <w:tcPr>
            <w:tcW w:w="2977" w:type="dxa"/>
            <w:tcBorders>
              <w:top w:val="nil"/>
              <w:left w:val="single" w:sz="4" w:space="0" w:color="auto"/>
              <w:bottom w:val="single" w:sz="4" w:space="0" w:color="auto"/>
              <w:right w:val="dotDash"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(3)</w:t>
            </w:r>
          </w:p>
        </w:tc>
      </w:tr>
      <w:tr w:rsidR="004C0DF2" w:rsidRPr="004F509F" w:rsidTr="007C006E">
        <w:trPr>
          <w:gridAfter w:val="1"/>
          <w:wAfter w:w="236" w:type="dxa"/>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Cash</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Australia</w:t>
            </w:r>
            <w:r>
              <w:rPr>
                <w:rFonts w:ascii="Arial" w:eastAsia="Times New Roman" w:hAnsi="Arial" w:cs="Arial"/>
                <w:sz w:val="20"/>
                <w:szCs w:val="20"/>
                <w:lang w:eastAsia="en-AU"/>
              </w:rPr>
              <w:t xml:space="preserve"> domicile</w:t>
            </w:r>
          </w:p>
        </w:tc>
        <w:tc>
          <w:tcPr>
            <w:tcW w:w="2977" w:type="dxa"/>
            <w:tcBorders>
              <w:top w:val="single" w:sz="4" w:space="0" w:color="auto"/>
              <w:left w:val="single" w:sz="4" w:space="0" w:color="auto"/>
              <w:bottom w:val="single" w:sz="4" w:space="0" w:color="auto"/>
              <w:right w:val="dotDash"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Listed</w:t>
            </w:r>
          </w:p>
        </w:tc>
      </w:tr>
      <w:tr w:rsidR="004C0DF2" w:rsidRPr="004F509F" w:rsidTr="007C006E">
        <w:trPr>
          <w:gridAfter w:val="1"/>
          <w:wAfter w:w="236" w:type="dxa"/>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Fixed Income</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International</w:t>
            </w:r>
            <w:r>
              <w:rPr>
                <w:rFonts w:ascii="Arial" w:eastAsia="Times New Roman" w:hAnsi="Arial" w:cs="Arial"/>
                <w:sz w:val="20"/>
                <w:szCs w:val="20"/>
                <w:lang w:eastAsia="en-AU"/>
              </w:rPr>
              <w:t xml:space="preserve"> domicile</w:t>
            </w:r>
          </w:p>
        </w:tc>
        <w:tc>
          <w:tcPr>
            <w:tcW w:w="2977" w:type="dxa"/>
            <w:tcBorders>
              <w:top w:val="single" w:sz="4" w:space="0" w:color="auto"/>
              <w:left w:val="single" w:sz="4" w:space="0" w:color="auto"/>
              <w:bottom w:val="single" w:sz="4" w:space="0" w:color="auto"/>
              <w:right w:val="dotDash"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Unlisted</w:t>
            </w:r>
          </w:p>
        </w:tc>
      </w:tr>
      <w:tr w:rsidR="004C0DF2" w:rsidRPr="004F509F" w:rsidTr="007C006E">
        <w:trPr>
          <w:gridAfter w:val="1"/>
          <w:wAfter w:w="236" w:type="dxa"/>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Equity</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N</w:t>
            </w:r>
            <w:r>
              <w:rPr>
                <w:rFonts w:ascii="Arial" w:eastAsia="Times New Roman" w:hAnsi="Arial" w:cs="Arial"/>
                <w:sz w:val="20"/>
                <w:szCs w:val="20"/>
                <w:lang w:eastAsia="en-AU"/>
              </w:rPr>
              <w:t>ot applicable</w:t>
            </w:r>
          </w:p>
        </w:tc>
        <w:tc>
          <w:tcPr>
            <w:tcW w:w="2977" w:type="dxa"/>
            <w:tcBorders>
              <w:top w:val="single" w:sz="4" w:space="0" w:color="auto"/>
              <w:left w:val="single" w:sz="4" w:space="0" w:color="auto"/>
              <w:bottom w:val="single" w:sz="4" w:space="0" w:color="auto"/>
              <w:right w:val="dotDash"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N</w:t>
            </w:r>
            <w:r>
              <w:rPr>
                <w:rFonts w:ascii="Arial" w:eastAsia="Times New Roman" w:hAnsi="Arial" w:cs="Arial"/>
                <w:sz w:val="20"/>
                <w:szCs w:val="20"/>
                <w:lang w:eastAsia="en-AU"/>
              </w:rPr>
              <w:t>ot applicable</w:t>
            </w:r>
          </w:p>
        </w:tc>
      </w:tr>
      <w:tr w:rsidR="004C0DF2" w:rsidRPr="004F509F" w:rsidTr="007C006E">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Property</w:t>
            </w:r>
          </w:p>
        </w:tc>
        <w:tc>
          <w:tcPr>
            <w:tcW w:w="2977" w:type="dxa"/>
            <w:tcBorders>
              <w:top w:val="single" w:sz="4" w:space="0" w:color="auto"/>
              <w:left w:val="single" w:sz="4" w:space="0" w:color="auto"/>
              <w:bottom w:val="nil"/>
              <w:right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c>
          <w:tcPr>
            <w:tcW w:w="2977" w:type="dxa"/>
            <w:tcBorders>
              <w:top w:val="single" w:sz="4" w:space="0" w:color="auto"/>
              <w:left w:val="nil"/>
              <w:bottom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c>
          <w:tcPr>
            <w:tcW w:w="236" w:type="dxa"/>
            <w:tcBorders>
              <w:top w:val="single" w:sz="4" w:space="0" w:color="auto"/>
            </w:tcBorders>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r>
      <w:tr w:rsidR="004C0DF2" w:rsidRPr="004F509F" w:rsidTr="007C006E">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Infrastructure</w:t>
            </w:r>
          </w:p>
        </w:tc>
        <w:tc>
          <w:tcPr>
            <w:tcW w:w="2977" w:type="dxa"/>
            <w:tcBorders>
              <w:top w:val="nil"/>
              <w:left w:val="single" w:sz="4" w:space="0" w:color="auto"/>
              <w:bottom w:val="nil"/>
              <w:right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c>
          <w:tcPr>
            <w:tcW w:w="2977" w:type="dxa"/>
            <w:tcBorders>
              <w:top w:val="nil"/>
              <w:left w:val="nil"/>
              <w:bottom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c>
          <w:tcPr>
            <w:tcW w:w="236" w:type="dxa"/>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r>
      <w:tr w:rsidR="004C0DF2" w:rsidRPr="004F509F" w:rsidTr="007C006E">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Commodities</w:t>
            </w:r>
          </w:p>
        </w:tc>
        <w:tc>
          <w:tcPr>
            <w:tcW w:w="2977" w:type="dxa"/>
            <w:tcBorders>
              <w:top w:val="nil"/>
              <w:left w:val="single" w:sz="4" w:space="0" w:color="auto"/>
              <w:right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c>
          <w:tcPr>
            <w:tcW w:w="2977" w:type="dxa"/>
            <w:tcBorders>
              <w:top w:val="nil"/>
              <w:left w:val="nil"/>
              <w:bottom w:val="nil"/>
              <w:right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c>
          <w:tcPr>
            <w:tcW w:w="236" w:type="dxa"/>
            <w:tcBorders>
              <w:left w:val="nil"/>
              <w:bottom w:val="nil"/>
              <w:right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r>
      <w:tr w:rsidR="004C0DF2" w:rsidRPr="004F509F" w:rsidTr="007C006E">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 xml:space="preserve">Other </w:t>
            </w:r>
          </w:p>
        </w:tc>
        <w:tc>
          <w:tcPr>
            <w:tcW w:w="2977" w:type="dxa"/>
            <w:tcBorders>
              <w:top w:val="nil"/>
              <w:left w:val="single" w:sz="4" w:space="0" w:color="auto"/>
              <w:right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c>
          <w:tcPr>
            <w:tcW w:w="2977" w:type="dxa"/>
            <w:tcBorders>
              <w:top w:val="nil"/>
              <w:left w:val="nil"/>
              <w:bottom w:val="nil"/>
              <w:right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c>
          <w:tcPr>
            <w:tcW w:w="236" w:type="dxa"/>
            <w:tcBorders>
              <w:top w:val="nil"/>
              <w:left w:val="nil"/>
              <w:bottom w:val="nil"/>
              <w:right w:val="nil"/>
            </w:tcBorders>
            <w:shd w:val="clear" w:color="auto" w:fill="auto"/>
            <w:noWrap/>
            <w:vAlign w:val="bottom"/>
            <w:hideMark/>
          </w:tcPr>
          <w:p w:rsidR="004C0DF2" w:rsidRPr="004F509F" w:rsidRDefault="004C0DF2" w:rsidP="007C006E">
            <w:pPr>
              <w:jc w:val="center"/>
              <w:rPr>
                <w:rFonts w:ascii="Arial" w:eastAsia="Times New Roman" w:hAnsi="Arial" w:cs="Arial"/>
                <w:sz w:val="20"/>
                <w:szCs w:val="20"/>
                <w:lang w:eastAsia="en-AU"/>
              </w:rPr>
            </w:pPr>
          </w:p>
        </w:tc>
      </w:tr>
    </w:tbl>
    <w:p w:rsidR="004C0DF2" w:rsidRDefault="004C0DF2" w:rsidP="004C0DF2"/>
    <w:p w:rsidR="00A54FBB" w:rsidRDefault="00A54FBB" w:rsidP="004C0DF2"/>
    <w:p w:rsidR="00A54FBB" w:rsidRDefault="00A54FBB" w:rsidP="004C0DF2"/>
    <w:p w:rsidR="00A54FBB" w:rsidRDefault="00A54FBB" w:rsidP="004C0DF2"/>
    <w:p w:rsidR="00A54FBB" w:rsidRDefault="00A54FBB" w:rsidP="004C0DF2"/>
    <w:p w:rsidR="00A54FBB" w:rsidRDefault="00A54FBB" w:rsidP="004C0DF2"/>
    <w:p w:rsidR="00A54FBB" w:rsidRDefault="00A54FBB" w:rsidP="004C0DF2"/>
    <w:p w:rsidR="00A54FBB" w:rsidRDefault="00A54FBB" w:rsidP="004C0DF2"/>
    <w:p w:rsidR="00A54FBB" w:rsidRDefault="00A54FBB" w:rsidP="004C0DF2"/>
    <w:p w:rsidR="00A54FBB" w:rsidRDefault="00A54FBB" w:rsidP="004C0DF2"/>
    <w:tbl>
      <w:tblPr>
        <w:tblW w:w="0" w:type="auto"/>
        <w:tblInd w:w="108" w:type="dxa"/>
        <w:tblLook w:val="04A0" w:firstRow="1" w:lastRow="0" w:firstColumn="1" w:lastColumn="0" w:noHBand="0" w:noVBand="1"/>
      </w:tblPr>
      <w:tblGrid>
        <w:gridCol w:w="2977"/>
        <w:gridCol w:w="2977"/>
        <w:gridCol w:w="2977"/>
      </w:tblGrid>
      <w:tr w:rsidR="004C0DF2" w:rsidRPr="004F509F" w:rsidTr="004C0DF2">
        <w:trPr>
          <w:trHeight w:val="315"/>
        </w:trPr>
        <w:tc>
          <w:tcPr>
            <w:tcW w:w="2977" w:type="dxa"/>
            <w:tcBorders>
              <w:top w:val="single" w:sz="4" w:space="0" w:color="auto"/>
              <w:left w:val="dotDash" w:sz="4" w:space="0" w:color="auto"/>
              <w:bottom w:val="nil"/>
              <w:right w:val="single" w:sz="4" w:space="0" w:color="auto"/>
            </w:tcBorders>
            <w:shd w:val="clear" w:color="auto" w:fill="auto"/>
            <w:vAlign w:val="bottom"/>
          </w:tcPr>
          <w:p w:rsidR="004C0DF2" w:rsidRDefault="004C0DF2" w:rsidP="007C006E">
            <w:pPr>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lastRenderedPageBreak/>
              <w:t>Fixed income type</w:t>
            </w:r>
          </w:p>
        </w:tc>
        <w:tc>
          <w:tcPr>
            <w:tcW w:w="2977" w:type="dxa"/>
            <w:tcBorders>
              <w:top w:val="single" w:sz="4" w:space="0" w:color="auto"/>
              <w:left w:val="single" w:sz="4" w:space="0" w:color="auto"/>
              <w:bottom w:val="nil"/>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Value</w:t>
            </w:r>
          </w:p>
        </w:tc>
        <w:tc>
          <w:tcPr>
            <w:tcW w:w="2977" w:type="dxa"/>
            <w:tcBorders>
              <w:top w:val="single" w:sz="4" w:space="0" w:color="auto"/>
              <w:left w:val="single" w:sz="4" w:space="0" w:color="auto"/>
              <w:bottom w:val="nil"/>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sidRPr="002712FD">
              <w:rPr>
                <w:rFonts w:ascii="Arial" w:eastAsia="Times New Roman" w:hAnsi="Arial" w:cs="Arial"/>
                <w:i/>
                <w:iCs/>
                <w:sz w:val="20"/>
                <w:szCs w:val="20"/>
                <w:lang w:eastAsia="en-AU"/>
              </w:rPr>
              <w:t xml:space="preserve">if applicable, </w:t>
            </w:r>
            <w:r w:rsidRPr="002712FD">
              <w:rPr>
                <w:rFonts w:ascii="Arial" w:eastAsia="Times New Roman" w:hAnsi="Arial" w:cs="Arial"/>
                <w:b/>
                <w:iCs/>
                <w:sz w:val="20"/>
                <w:szCs w:val="20"/>
                <w:lang w:eastAsia="en-AU"/>
              </w:rPr>
              <w:t>currency hedged</w:t>
            </w:r>
          </w:p>
        </w:tc>
      </w:tr>
      <w:tr w:rsidR="004C0DF2" w:rsidRPr="004F509F" w:rsidTr="004C0DF2">
        <w:trPr>
          <w:trHeight w:val="315"/>
        </w:trPr>
        <w:tc>
          <w:tcPr>
            <w:tcW w:w="2977" w:type="dxa"/>
            <w:tcBorders>
              <w:top w:val="nil"/>
              <w:left w:val="dotDash" w:sz="4" w:space="0" w:color="auto"/>
              <w:bottom w:val="single" w:sz="4" w:space="0" w:color="auto"/>
              <w:right w:val="single" w:sz="4" w:space="0" w:color="auto"/>
            </w:tcBorders>
            <w:shd w:val="clear" w:color="auto" w:fill="auto"/>
            <w:vAlign w:val="bottom"/>
          </w:tcPr>
          <w:p w:rsidR="004C0DF2" w:rsidRPr="004F509F" w:rsidRDefault="004C0DF2" w:rsidP="007C006E">
            <w:pPr>
              <w:jc w:val="center"/>
              <w:rPr>
                <w:rFonts w:ascii="Arial" w:eastAsia="Times New Roman" w:hAnsi="Arial" w:cs="Arial"/>
                <w:b/>
                <w:bCs/>
                <w:sz w:val="20"/>
                <w:szCs w:val="20"/>
                <w:lang w:eastAsia="en-AU"/>
              </w:rPr>
            </w:pPr>
            <w:r w:rsidRPr="004F509F">
              <w:rPr>
                <w:rFonts w:ascii="Arial" w:eastAsia="Times New Roman" w:hAnsi="Arial" w:cs="Arial"/>
                <w:b/>
                <w:bCs/>
                <w:sz w:val="20"/>
                <w:szCs w:val="20"/>
                <w:lang w:eastAsia="en-AU"/>
              </w:rPr>
              <w:t>(</w:t>
            </w:r>
            <w:r>
              <w:rPr>
                <w:rFonts w:ascii="Arial" w:eastAsia="Times New Roman" w:hAnsi="Arial" w:cs="Arial"/>
                <w:b/>
                <w:bCs/>
                <w:sz w:val="20"/>
                <w:szCs w:val="20"/>
                <w:lang w:eastAsia="en-AU"/>
              </w:rPr>
              <w:t>4</w:t>
            </w:r>
            <w:r w:rsidRPr="004F509F">
              <w:rPr>
                <w:rFonts w:ascii="Arial" w:eastAsia="Times New Roman" w:hAnsi="Arial" w:cs="Arial"/>
                <w:b/>
                <w:bCs/>
                <w:sz w:val="20"/>
                <w:szCs w:val="20"/>
                <w:lang w:eastAsia="en-AU"/>
              </w:rPr>
              <w:t>)</w:t>
            </w: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(5</w:t>
            </w:r>
            <w:r w:rsidRPr="004F509F">
              <w:rPr>
                <w:rFonts w:ascii="Arial" w:eastAsia="Times New Roman" w:hAnsi="Arial" w:cs="Arial"/>
                <w:b/>
                <w:bCs/>
                <w:sz w:val="20"/>
                <w:szCs w:val="20"/>
                <w:lang w:eastAsia="en-AU"/>
              </w:rPr>
              <w:t>)</w:t>
            </w: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(6)</w:t>
            </w:r>
          </w:p>
        </w:tc>
      </w:tr>
      <w:tr w:rsidR="004C0DF2" w:rsidRPr="004F509F" w:rsidTr="004C0DF2">
        <w:trPr>
          <w:trHeight w:val="315"/>
        </w:trPr>
        <w:tc>
          <w:tcPr>
            <w:tcW w:w="2977" w:type="dxa"/>
            <w:tcBorders>
              <w:top w:val="single" w:sz="4" w:space="0" w:color="auto"/>
              <w:left w:val="dotDash" w:sz="4" w:space="0" w:color="auto"/>
              <w:bottom w:val="single" w:sz="4" w:space="0" w:color="auto"/>
              <w:right w:val="single" w:sz="4" w:space="0" w:color="auto"/>
            </w:tcBorders>
            <w:shd w:val="clear" w:color="auto" w:fill="auto"/>
            <w:vAlign w:val="bottom"/>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Government</w:t>
            </w:r>
            <w:r>
              <w:rPr>
                <w:rFonts w:ascii="Arial" w:eastAsia="Times New Roman" w:hAnsi="Arial" w:cs="Arial"/>
                <w:sz w:val="20"/>
                <w:szCs w:val="20"/>
                <w:lang w:eastAsia="en-AU"/>
              </w:rPr>
              <w:t xml:space="preserve"> debt</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DF2" w:rsidRPr="004F509F" w:rsidRDefault="004C0DF2" w:rsidP="007C006E">
            <w:pPr>
              <w:jc w:val="center"/>
              <w:rPr>
                <w:rFonts w:ascii="Arial" w:eastAsia="Times New Roman" w:hAnsi="Arial" w:cs="Arial"/>
                <w:b/>
                <w:bCs/>
                <w:sz w:val="20"/>
                <w:szCs w:val="20"/>
                <w:lang w:eastAsia="en-AU"/>
              </w:rPr>
            </w:pPr>
          </w:p>
        </w:tc>
      </w:tr>
      <w:tr w:rsidR="004C0DF2" w:rsidRPr="004F509F" w:rsidTr="004C0DF2">
        <w:trPr>
          <w:trHeight w:val="315"/>
        </w:trPr>
        <w:tc>
          <w:tcPr>
            <w:tcW w:w="2977" w:type="dxa"/>
            <w:tcBorders>
              <w:top w:val="single" w:sz="4" w:space="0" w:color="auto"/>
              <w:left w:val="dotDash" w:sz="4" w:space="0" w:color="auto"/>
              <w:bottom w:val="single" w:sz="4" w:space="0" w:color="auto"/>
              <w:right w:val="single" w:sz="4" w:space="0" w:color="auto"/>
            </w:tcBorders>
            <w:shd w:val="clear" w:color="auto" w:fill="auto"/>
            <w:vAlign w:val="bottom"/>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Non Government</w:t>
            </w:r>
            <w:r>
              <w:rPr>
                <w:rFonts w:ascii="Arial" w:eastAsia="Times New Roman" w:hAnsi="Arial" w:cs="Arial"/>
                <w:sz w:val="20"/>
                <w:szCs w:val="20"/>
                <w:lang w:eastAsia="en-AU"/>
              </w:rPr>
              <w:t xml:space="preserve"> debt</w:t>
            </w:r>
          </w:p>
        </w:tc>
        <w:tc>
          <w:tcPr>
            <w:tcW w:w="2977" w:type="dxa"/>
            <w:tcBorders>
              <w:top w:val="single" w:sz="4" w:space="0" w:color="auto"/>
              <w:left w:val="single" w:sz="4" w:space="0" w:color="auto"/>
              <w:bottom w:val="nil"/>
              <w:right w:val="nil"/>
            </w:tcBorders>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c>
          <w:tcPr>
            <w:tcW w:w="2977" w:type="dxa"/>
            <w:tcBorders>
              <w:top w:val="single" w:sz="4" w:space="0" w:color="auto"/>
              <w:left w:val="nil"/>
              <w:bottom w:val="nil"/>
              <w:right w:val="nil"/>
            </w:tcBorders>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r>
      <w:tr w:rsidR="004C0DF2" w:rsidRPr="004F509F" w:rsidTr="004C0DF2">
        <w:trPr>
          <w:trHeight w:val="315"/>
        </w:trPr>
        <w:tc>
          <w:tcPr>
            <w:tcW w:w="2977" w:type="dxa"/>
            <w:tcBorders>
              <w:top w:val="single" w:sz="4" w:space="0" w:color="auto"/>
              <w:left w:val="dotDash" w:sz="4" w:space="0" w:color="auto"/>
              <w:bottom w:val="single" w:sz="4" w:space="0" w:color="auto"/>
              <w:right w:val="single" w:sz="4" w:space="0" w:color="auto"/>
            </w:tcBorders>
            <w:shd w:val="clear" w:color="auto" w:fill="auto"/>
            <w:vAlign w:val="bottom"/>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Mortgage</w:t>
            </w:r>
            <w:r>
              <w:rPr>
                <w:rFonts w:ascii="Arial" w:eastAsia="Times New Roman" w:hAnsi="Arial" w:cs="Arial"/>
                <w:sz w:val="20"/>
                <w:szCs w:val="20"/>
                <w:lang w:eastAsia="en-AU"/>
              </w:rPr>
              <w:t xml:space="preserve"> debt</w:t>
            </w:r>
          </w:p>
        </w:tc>
        <w:tc>
          <w:tcPr>
            <w:tcW w:w="2977" w:type="dxa"/>
            <w:tcBorders>
              <w:left w:val="single" w:sz="4" w:space="0" w:color="auto"/>
              <w:bottom w:val="nil"/>
              <w:right w:val="nil"/>
            </w:tcBorders>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c>
          <w:tcPr>
            <w:tcW w:w="2977" w:type="dxa"/>
            <w:tcBorders>
              <w:left w:val="nil"/>
              <w:bottom w:val="nil"/>
              <w:right w:val="nil"/>
            </w:tcBorders>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r>
      <w:tr w:rsidR="004C0DF2" w:rsidRPr="004F509F" w:rsidTr="004C0DF2">
        <w:trPr>
          <w:trHeight w:val="315"/>
        </w:trPr>
        <w:tc>
          <w:tcPr>
            <w:tcW w:w="2977" w:type="dxa"/>
            <w:tcBorders>
              <w:top w:val="single" w:sz="4" w:space="0" w:color="auto"/>
              <w:left w:val="dotDash" w:sz="4" w:space="0" w:color="auto"/>
              <w:bottom w:val="single" w:sz="4" w:space="0" w:color="auto"/>
              <w:right w:val="single" w:sz="4" w:space="0" w:color="auto"/>
            </w:tcBorders>
            <w:shd w:val="clear" w:color="auto" w:fill="auto"/>
            <w:vAlign w:val="bottom"/>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Credit</w:t>
            </w:r>
          </w:p>
        </w:tc>
        <w:tc>
          <w:tcPr>
            <w:tcW w:w="2977" w:type="dxa"/>
            <w:tcBorders>
              <w:left w:val="single" w:sz="4" w:space="0" w:color="auto"/>
              <w:bottom w:val="nil"/>
              <w:right w:val="nil"/>
            </w:tcBorders>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c>
          <w:tcPr>
            <w:tcW w:w="2977" w:type="dxa"/>
            <w:tcBorders>
              <w:left w:val="nil"/>
              <w:bottom w:val="nil"/>
              <w:right w:val="nil"/>
            </w:tcBorders>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r>
      <w:tr w:rsidR="004C0DF2" w:rsidRPr="004F509F" w:rsidTr="004C0DF2">
        <w:trPr>
          <w:trHeight w:val="315"/>
        </w:trPr>
        <w:tc>
          <w:tcPr>
            <w:tcW w:w="2977" w:type="dxa"/>
            <w:tcBorders>
              <w:top w:val="single" w:sz="4" w:space="0" w:color="auto"/>
              <w:left w:val="dotDash" w:sz="4" w:space="0" w:color="auto"/>
              <w:bottom w:val="single" w:sz="4" w:space="0" w:color="auto"/>
              <w:right w:val="single" w:sz="4" w:space="0" w:color="auto"/>
            </w:tcBorders>
            <w:shd w:val="clear" w:color="auto" w:fill="auto"/>
            <w:vAlign w:val="bottom"/>
          </w:tcPr>
          <w:p w:rsidR="004C0DF2" w:rsidRPr="004F509F" w:rsidRDefault="004C0DF2" w:rsidP="007C006E">
            <w:pPr>
              <w:jc w:val="center"/>
              <w:rPr>
                <w:rFonts w:ascii="Arial" w:eastAsia="Times New Roman" w:hAnsi="Arial" w:cs="Arial"/>
                <w:sz w:val="20"/>
                <w:szCs w:val="20"/>
                <w:lang w:eastAsia="en-AU"/>
              </w:rPr>
            </w:pPr>
            <w:r w:rsidRPr="004F509F">
              <w:rPr>
                <w:rFonts w:ascii="Arial" w:eastAsia="Times New Roman" w:hAnsi="Arial" w:cs="Arial"/>
                <w:sz w:val="20"/>
                <w:szCs w:val="20"/>
                <w:lang w:eastAsia="en-AU"/>
              </w:rPr>
              <w:t>N</w:t>
            </w:r>
            <w:r>
              <w:rPr>
                <w:rFonts w:ascii="Arial" w:eastAsia="Times New Roman" w:hAnsi="Arial" w:cs="Arial"/>
                <w:sz w:val="20"/>
                <w:szCs w:val="20"/>
                <w:lang w:eastAsia="en-AU"/>
              </w:rPr>
              <w:t>ot applicable</w:t>
            </w:r>
          </w:p>
        </w:tc>
        <w:tc>
          <w:tcPr>
            <w:tcW w:w="2977" w:type="dxa"/>
            <w:tcBorders>
              <w:left w:val="single" w:sz="4" w:space="0" w:color="auto"/>
              <w:right w:val="nil"/>
            </w:tcBorders>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c>
          <w:tcPr>
            <w:tcW w:w="2977" w:type="dxa"/>
            <w:tcBorders>
              <w:left w:val="nil"/>
              <w:right w:val="nil"/>
            </w:tcBorders>
            <w:shd w:val="clear" w:color="auto" w:fill="auto"/>
            <w:noWrap/>
            <w:vAlign w:val="bottom"/>
          </w:tcPr>
          <w:p w:rsidR="004C0DF2" w:rsidRPr="004F509F" w:rsidRDefault="004C0DF2" w:rsidP="007C006E">
            <w:pPr>
              <w:jc w:val="center"/>
              <w:rPr>
                <w:rFonts w:ascii="Arial" w:eastAsia="Times New Roman" w:hAnsi="Arial" w:cs="Arial"/>
                <w:b/>
                <w:bCs/>
                <w:sz w:val="20"/>
                <w:szCs w:val="20"/>
                <w:lang w:eastAsia="en-AU"/>
              </w:rPr>
            </w:pPr>
          </w:p>
        </w:tc>
      </w:tr>
    </w:tbl>
    <w:p w:rsidR="004C0DF2" w:rsidRDefault="004C0DF2"/>
    <w:tbl>
      <w:tblPr>
        <w:tblW w:w="0" w:type="auto"/>
        <w:tblInd w:w="108" w:type="dxa"/>
        <w:tblLook w:val="04A0" w:firstRow="1" w:lastRow="0" w:firstColumn="1" w:lastColumn="0" w:noHBand="0" w:noVBand="1"/>
      </w:tblPr>
      <w:tblGrid>
        <w:gridCol w:w="2977"/>
        <w:gridCol w:w="2977"/>
        <w:gridCol w:w="2977"/>
      </w:tblGrid>
      <w:tr w:rsidR="00F97FDA" w:rsidRPr="004F509F" w:rsidTr="004C0DF2">
        <w:trPr>
          <w:trHeight w:val="315"/>
        </w:trPr>
        <w:tc>
          <w:tcPr>
            <w:tcW w:w="2977" w:type="dxa"/>
            <w:tcBorders>
              <w:right w:val="single" w:sz="4" w:space="0" w:color="auto"/>
            </w:tcBorders>
            <w:vAlign w:val="bottom"/>
          </w:tcPr>
          <w:p w:rsidR="00F97FDA" w:rsidRPr="0046452C" w:rsidRDefault="00F97FDA" w:rsidP="00587F57">
            <w:pPr>
              <w:numPr>
                <w:ilvl w:val="1"/>
                <w:numId w:val="19"/>
              </w:numPr>
              <w:ind w:left="788" w:hanging="431"/>
              <w:rPr>
                <w:rFonts w:ascii="Arial" w:eastAsia="Times New Roman" w:hAnsi="Arial" w:cs="Arial"/>
                <w:bCs/>
                <w:sz w:val="20"/>
                <w:szCs w:val="20"/>
                <w:lang w:eastAsia="en-AU"/>
              </w:rPr>
            </w:pPr>
            <w:r w:rsidRPr="0046452C">
              <w:rPr>
                <w:rFonts w:ascii="Arial" w:eastAsia="Times New Roman" w:hAnsi="Arial" w:cs="Arial"/>
                <w:szCs w:val="20"/>
                <w:lang w:eastAsia="en-AU"/>
              </w:rPr>
              <w:t>Total</w:t>
            </w:r>
            <w:r>
              <w:rPr>
                <w:rFonts w:ascii="Arial" w:eastAsia="Times New Roman" w:hAnsi="Arial" w:cs="Arial"/>
                <w:szCs w:val="20"/>
                <w:lang w:eastAsia="en-AU"/>
              </w:rPr>
              <w:t xml:space="preserve"> investments</w:t>
            </w:r>
          </w:p>
        </w:tc>
        <w:tc>
          <w:tcPr>
            <w:tcW w:w="297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F97FDA" w:rsidRPr="004F509F" w:rsidRDefault="00F97FDA" w:rsidP="008569C5">
            <w:pPr>
              <w:jc w:val="center"/>
              <w:rPr>
                <w:rFonts w:ascii="Arial" w:eastAsia="Times New Roman" w:hAnsi="Arial" w:cs="Arial"/>
                <w:b/>
                <w:bCs/>
                <w:sz w:val="20"/>
                <w:szCs w:val="20"/>
                <w:lang w:eastAsia="en-AU"/>
              </w:rPr>
            </w:pPr>
          </w:p>
        </w:tc>
        <w:tc>
          <w:tcPr>
            <w:tcW w:w="2977" w:type="dxa"/>
            <w:tcBorders>
              <w:left w:val="single" w:sz="4" w:space="0" w:color="auto"/>
            </w:tcBorders>
            <w:shd w:val="clear" w:color="auto" w:fill="auto"/>
            <w:noWrap/>
            <w:vAlign w:val="bottom"/>
            <w:hideMark/>
          </w:tcPr>
          <w:p w:rsidR="00F97FDA" w:rsidRPr="004F509F" w:rsidRDefault="00F97FDA" w:rsidP="008569C5">
            <w:pPr>
              <w:jc w:val="center"/>
              <w:rPr>
                <w:rFonts w:ascii="Arial" w:eastAsia="Times New Roman" w:hAnsi="Arial" w:cs="Arial"/>
                <w:b/>
                <w:bCs/>
                <w:sz w:val="20"/>
                <w:szCs w:val="20"/>
                <w:lang w:eastAsia="en-AU"/>
              </w:rPr>
            </w:pPr>
          </w:p>
        </w:tc>
      </w:tr>
      <w:tr w:rsidR="0051527D" w:rsidRPr="004F509F" w:rsidTr="004C0DF2">
        <w:trPr>
          <w:trHeight w:val="315"/>
        </w:trPr>
        <w:tc>
          <w:tcPr>
            <w:tcW w:w="2977" w:type="dxa"/>
            <w:tcBorders>
              <w:right w:val="single" w:sz="4" w:space="0" w:color="auto"/>
            </w:tcBorders>
            <w:vAlign w:val="bottom"/>
          </w:tcPr>
          <w:p w:rsidR="0051527D" w:rsidRPr="0046452C" w:rsidRDefault="0051527D" w:rsidP="00587F57">
            <w:pPr>
              <w:numPr>
                <w:ilvl w:val="1"/>
                <w:numId w:val="19"/>
              </w:numPr>
              <w:ind w:left="788" w:hanging="431"/>
              <w:rPr>
                <w:rFonts w:ascii="Arial" w:eastAsia="Times New Roman" w:hAnsi="Arial" w:cs="Arial"/>
                <w:szCs w:val="20"/>
                <w:lang w:eastAsia="en-AU"/>
              </w:rPr>
            </w:pPr>
            <w:r>
              <w:rPr>
                <w:rFonts w:ascii="Arial" w:eastAsia="Times New Roman" w:hAnsi="Arial" w:cs="Arial"/>
                <w:szCs w:val="20"/>
                <w:lang w:eastAsia="en-AU"/>
              </w:rPr>
              <w:t>Total assets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7D" w:rsidRPr="004F509F" w:rsidRDefault="0051527D" w:rsidP="008569C5">
            <w:pPr>
              <w:jc w:val="center"/>
              <w:rPr>
                <w:rFonts w:ascii="Arial" w:eastAsia="Times New Roman" w:hAnsi="Arial" w:cs="Arial"/>
                <w:b/>
                <w:bCs/>
                <w:sz w:val="20"/>
                <w:szCs w:val="20"/>
                <w:lang w:eastAsia="en-AU"/>
              </w:rPr>
            </w:pPr>
          </w:p>
        </w:tc>
        <w:tc>
          <w:tcPr>
            <w:tcW w:w="2977" w:type="dxa"/>
            <w:tcBorders>
              <w:left w:val="single" w:sz="4" w:space="0" w:color="auto"/>
            </w:tcBorders>
            <w:shd w:val="clear" w:color="auto" w:fill="auto"/>
            <w:noWrap/>
            <w:vAlign w:val="bottom"/>
            <w:hideMark/>
          </w:tcPr>
          <w:p w:rsidR="0051527D" w:rsidRPr="004F509F" w:rsidRDefault="0051527D" w:rsidP="008569C5">
            <w:pPr>
              <w:jc w:val="center"/>
              <w:rPr>
                <w:rFonts w:ascii="Arial" w:eastAsia="Times New Roman" w:hAnsi="Arial" w:cs="Arial"/>
                <w:b/>
                <w:bCs/>
                <w:sz w:val="20"/>
                <w:szCs w:val="20"/>
                <w:lang w:eastAsia="en-AU"/>
              </w:rPr>
            </w:pPr>
          </w:p>
        </w:tc>
      </w:tr>
    </w:tbl>
    <w:p w:rsidR="004C0DF2" w:rsidRPr="004C0DF2" w:rsidRDefault="004C0DF2" w:rsidP="00D05E09">
      <w:pPr>
        <w:widowControl w:val="0"/>
        <w:spacing w:after="240"/>
        <w:jc w:val="both"/>
        <w:rPr>
          <w:rFonts w:ascii="Arial" w:hAnsi="Arial" w:cs="Arial"/>
          <w:b/>
          <w:color w:val="000000"/>
        </w:rPr>
      </w:pPr>
    </w:p>
    <w:tbl>
      <w:tblPr>
        <w:tblW w:w="9240" w:type="dxa"/>
        <w:tblInd w:w="108" w:type="dxa"/>
        <w:tblLayout w:type="fixed"/>
        <w:tblLook w:val="04A0" w:firstRow="1" w:lastRow="0" w:firstColumn="1" w:lastColumn="0" w:noHBand="0" w:noVBand="1"/>
      </w:tblPr>
      <w:tblGrid>
        <w:gridCol w:w="7654"/>
        <w:gridCol w:w="1277"/>
        <w:gridCol w:w="309"/>
      </w:tblGrid>
      <w:tr w:rsidR="004C0DF2" w:rsidRPr="00DE02BA" w:rsidTr="004C0DF2">
        <w:trPr>
          <w:gridAfter w:val="1"/>
          <w:wAfter w:w="309" w:type="dxa"/>
          <w:trHeight w:val="317"/>
        </w:trPr>
        <w:tc>
          <w:tcPr>
            <w:tcW w:w="8931" w:type="dxa"/>
            <w:gridSpan w:val="2"/>
            <w:shd w:val="clear" w:color="auto" w:fill="FFFF99"/>
            <w:vAlign w:val="bottom"/>
          </w:tcPr>
          <w:p w:rsidR="004C0DF2" w:rsidRPr="00DE02BA" w:rsidRDefault="004C0DF2" w:rsidP="007C006E">
            <w:pPr>
              <w:numPr>
                <w:ilvl w:val="0"/>
                <w:numId w:val="6"/>
              </w:numPr>
              <w:rPr>
                <w:rFonts w:ascii="Arial" w:hAnsi="Arial" w:cs="Arial"/>
                <w:b/>
                <w:szCs w:val="24"/>
              </w:rPr>
            </w:pPr>
            <w:r w:rsidRPr="00DE02BA">
              <w:rPr>
                <w:rFonts w:ascii="Arial" w:hAnsi="Arial" w:cs="Arial"/>
                <w:b/>
                <w:szCs w:val="24"/>
              </w:rPr>
              <w:t xml:space="preserve">Movements in </w:t>
            </w:r>
            <w:r>
              <w:rPr>
                <w:rFonts w:ascii="Arial" w:hAnsi="Arial" w:cs="Arial"/>
                <w:b/>
                <w:szCs w:val="24"/>
              </w:rPr>
              <w:t>d</w:t>
            </w:r>
            <w:r>
              <w:rPr>
                <w:rFonts w:ascii="Arial" w:hAnsi="Arial" w:cs="Arial"/>
                <w:b/>
              </w:rPr>
              <w:t>irectly held and indirectly held investments</w:t>
            </w:r>
          </w:p>
        </w:tc>
      </w:tr>
      <w:tr w:rsidR="004C0DF2" w:rsidRPr="00DE02BA" w:rsidTr="004C0DF2">
        <w:trPr>
          <w:gridAfter w:val="1"/>
          <w:wAfter w:w="309" w:type="dxa"/>
          <w:trHeight w:val="317"/>
        </w:trPr>
        <w:tc>
          <w:tcPr>
            <w:tcW w:w="8931" w:type="dxa"/>
            <w:gridSpan w:val="2"/>
            <w:shd w:val="clear" w:color="auto" w:fill="FFFF99"/>
            <w:vAlign w:val="bottom"/>
          </w:tcPr>
          <w:p w:rsidR="004C0DF2" w:rsidRPr="00DE02BA" w:rsidRDefault="004C0DF2" w:rsidP="007C006E">
            <w:pPr>
              <w:rPr>
                <w:rFonts w:ascii="Arial" w:hAnsi="Arial" w:cs="Arial"/>
                <w:b/>
                <w:szCs w:val="24"/>
              </w:rPr>
            </w:pPr>
          </w:p>
        </w:tc>
      </w:tr>
      <w:tr w:rsidR="004C0DF2" w:rsidRPr="00464A04" w:rsidTr="004C0DF2">
        <w:trPr>
          <w:trHeight w:val="317"/>
        </w:trPr>
        <w:tc>
          <w:tcPr>
            <w:tcW w:w="7654" w:type="dxa"/>
            <w:tcBorders>
              <w:top w:val="nil"/>
              <w:left w:val="nil"/>
              <w:bottom w:val="nil"/>
              <w:right w:val="nil"/>
            </w:tcBorders>
            <w:shd w:val="clear" w:color="auto" w:fill="FFFF99"/>
            <w:noWrap/>
            <w:vAlign w:val="bottom"/>
            <w:hideMark/>
          </w:tcPr>
          <w:p w:rsidR="004C0DF2" w:rsidRPr="00303F66" w:rsidRDefault="004C0DF2" w:rsidP="007C006E">
            <w:pPr>
              <w:numPr>
                <w:ilvl w:val="1"/>
                <w:numId w:val="6"/>
              </w:numPr>
              <w:rPr>
                <w:rFonts w:ascii="Arial" w:hAnsi="Arial" w:cs="Arial"/>
              </w:rPr>
            </w:pPr>
            <w:r>
              <w:rPr>
                <w:rFonts w:ascii="Arial" w:hAnsi="Arial" w:cs="Arial"/>
              </w:rPr>
              <w:t>Total net transactions</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0DF2" w:rsidRPr="00303F66" w:rsidRDefault="004C0DF2" w:rsidP="007C006E">
            <w:pPr>
              <w:rPr>
                <w:rFonts w:ascii="Arial" w:hAnsi="Arial" w:cs="Arial"/>
                <w:sz w:val="20"/>
              </w:rPr>
            </w:pPr>
          </w:p>
        </w:tc>
      </w:tr>
      <w:tr w:rsidR="004C0DF2" w:rsidRPr="00464A04" w:rsidTr="004C0DF2">
        <w:trPr>
          <w:trHeight w:val="317"/>
        </w:trPr>
        <w:tc>
          <w:tcPr>
            <w:tcW w:w="7654" w:type="dxa"/>
            <w:tcBorders>
              <w:top w:val="nil"/>
              <w:left w:val="nil"/>
              <w:bottom w:val="nil"/>
              <w:right w:val="nil"/>
            </w:tcBorders>
            <w:shd w:val="clear" w:color="auto" w:fill="FFFF99"/>
            <w:noWrap/>
            <w:vAlign w:val="bottom"/>
          </w:tcPr>
          <w:p w:rsidR="004C0DF2" w:rsidRDefault="004C0DF2" w:rsidP="007C006E">
            <w:pPr>
              <w:numPr>
                <w:ilvl w:val="1"/>
                <w:numId w:val="6"/>
              </w:numPr>
              <w:rPr>
                <w:rFonts w:ascii="Arial" w:hAnsi="Arial" w:cs="Arial"/>
              </w:rPr>
            </w:pPr>
            <w:r>
              <w:rPr>
                <w:rFonts w:ascii="Arial" w:hAnsi="Arial" w:cs="Arial"/>
              </w:rPr>
              <w:t>Total investment income</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C0DF2" w:rsidRPr="00303F66" w:rsidRDefault="004C0DF2" w:rsidP="007C006E">
            <w:pPr>
              <w:rPr>
                <w:rFonts w:ascii="Arial" w:hAnsi="Arial" w:cs="Arial"/>
                <w:sz w:val="20"/>
              </w:rPr>
            </w:pPr>
          </w:p>
        </w:tc>
      </w:tr>
      <w:tr w:rsidR="004C0DF2" w:rsidRPr="00464A04" w:rsidTr="004C0DF2">
        <w:trPr>
          <w:trHeight w:val="317"/>
        </w:trPr>
        <w:tc>
          <w:tcPr>
            <w:tcW w:w="7654" w:type="dxa"/>
            <w:tcBorders>
              <w:top w:val="nil"/>
              <w:left w:val="nil"/>
              <w:bottom w:val="nil"/>
              <w:right w:val="nil"/>
            </w:tcBorders>
            <w:shd w:val="clear" w:color="auto" w:fill="FFFF99"/>
            <w:noWrap/>
            <w:vAlign w:val="bottom"/>
            <w:hideMark/>
          </w:tcPr>
          <w:p w:rsidR="004C0DF2" w:rsidRPr="00303F66" w:rsidRDefault="004C0DF2" w:rsidP="007C006E">
            <w:pPr>
              <w:numPr>
                <w:ilvl w:val="1"/>
                <w:numId w:val="6"/>
              </w:numPr>
              <w:rPr>
                <w:rFonts w:ascii="Arial" w:hAnsi="Arial" w:cs="Arial"/>
              </w:rPr>
            </w:pPr>
            <w:r>
              <w:rPr>
                <w:rFonts w:ascii="Arial" w:hAnsi="Arial" w:cs="Arial"/>
              </w:rPr>
              <w:t>Total unrealised gains/losses</w:t>
            </w:r>
          </w:p>
        </w:tc>
        <w:tc>
          <w:tcPr>
            <w:tcW w:w="1586" w:type="dxa"/>
            <w:gridSpan w:val="2"/>
            <w:tcBorders>
              <w:top w:val="nil"/>
              <w:left w:val="single" w:sz="4" w:space="0" w:color="auto"/>
              <w:bottom w:val="single" w:sz="4" w:space="0" w:color="auto"/>
              <w:right w:val="single" w:sz="4" w:space="0" w:color="auto"/>
            </w:tcBorders>
            <w:shd w:val="clear" w:color="auto" w:fill="auto"/>
            <w:vAlign w:val="bottom"/>
            <w:hideMark/>
          </w:tcPr>
          <w:p w:rsidR="004C0DF2" w:rsidRPr="00303F66" w:rsidRDefault="004C0DF2" w:rsidP="007C006E">
            <w:pPr>
              <w:rPr>
                <w:rFonts w:ascii="Arial" w:hAnsi="Arial" w:cs="Arial"/>
                <w:sz w:val="20"/>
              </w:rPr>
            </w:pPr>
          </w:p>
        </w:tc>
      </w:tr>
      <w:tr w:rsidR="004C0DF2" w:rsidRPr="00464A04" w:rsidTr="004C0DF2">
        <w:trPr>
          <w:trHeight w:val="317"/>
        </w:trPr>
        <w:tc>
          <w:tcPr>
            <w:tcW w:w="7654" w:type="dxa"/>
            <w:tcBorders>
              <w:top w:val="nil"/>
              <w:left w:val="nil"/>
              <w:bottom w:val="nil"/>
              <w:right w:val="nil"/>
            </w:tcBorders>
            <w:shd w:val="clear" w:color="auto" w:fill="FFFF99"/>
            <w:noWrap/>
            <w:vAlign w:val="bottom"/>
            <w:hideMark/>
          </w:tcPr>
          <w:p w:rsidR="004C0DF2" w:rsidRPr="00303F66" w:rsidRDefault="004C0DF2" w:rsidP="007C006E">
            <w:pPr>
              <w:numPr>
                <w:ilvl w:val="1"/>
                <w:numId w:val="6"/>
              </w:numPr>
              <w:rPr>
                <w:rFonts w:ascii="Arial" w:hAnsi="Arial" w:cs="Arial"/>
              </w:rPr>
            </w:pPr>
            <w:r>
              <w:rPr>
                <w:rFonts w:ascii="Arial" w:hAnsi="Arial" w:cs="Arial"/>
              </w:rPr>
              <w:t>Total realised gains/losses</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0DF2" w:rsidRPr="00303F66" w:rsidRDefault="004C0DF2" w:rsidP="007C006E">
            <w:pPr>
              <w:rPr>
                <w:rFonts w:ascii="Arial" w:hAnsi="Arial" w:cs="Arial"/>
                <w:sz w:val="20"/>
              </w:rPr>
            </w:pPr>
          </w:p>
        </w:tc>
      </w:tr>
      <w:tr w:rsidR="004C0DF2" w:rsidRPr="00464A04" w:rsidTr="004C0DF2">
        <w:trPr>
          <w:trHeight w:val="317"/>
        </w:trPr>
        <w:tc>
          <w:tcPr>
            <w:tcW w:w="7654" w:type="dxa"/>
            <w:tcBorders>
              <w:top w:val="nil"/>
              <w:left w:val="nil"/>
              <w:bottom w:val="nil"/>
              <w:right w:val="nil"/>
            </w:tcBorders>
            <w:shd w:val="clear" w:color="auto" w:fill="FFFF99"/>
            <w:noWrap/>
            <w:vAlign w:val="bottom"/>
          </w:tcPr>
          <w:p w:rsidR="004C0DF2" w:rsidRDefault="004C0DF2" w:rsidP="007C006E">
            <w:pPr>
              <w:numPr>
                <w:ilvl w:val="1"/>
                <w:numId w:val="6"/>
              </w:numPr>
              <w:rPr>
                <w:rFonts w:ascii="Arial" w:hAnsi="Arial" w:cs="Arial"/>
              </w:rPr>
            </w:pPr>
            <w:r>
              <w:rPr>
                <w:rFonts w:ascii="Arial" w:hAnsi="Arial" w:cs="Arial"/>
              </w:rPr>
              <w:t>Total gains/losses</w:t>
            </w:r>
          </w:p>
        </w:tc>
        <w:tc>
          <w:tcPr>
            <w:tcW w:w="1586"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4C0DF2" w:rsidRPr="00303F66" w:rsidRDefault="004C0DF2" w:rsidP="007C006E">
            <w:pPr>
              <w:rPr>
                <w:rFonts w:ascii="Arial" w:hAnsi="Arial" w:cs="Arial"/>
                <w:sz w:val="20"/>
              </w:rPr>
            </w:pPr>
          </w:p>
        </w:tc>
      </w:tr>
      <w:tr w:rsidR="004C0DF2" w:rsidRPr="00464A04" w:rsidTr="004C0DF2">
        <w:trPr>
          <w:trHeight w:val="70"/>
        </w:trPr>
        <w:tc>
          <w:tcPr>
            <w:tcW w:w="7654" w:type="dxa"/>
            <w:tcBorders>
              <w:top w:val="nil"/>
              <w:left w:val="nil"/>
              <w:bottom w:val="nil"/>
              <w:right w:val="nil"/>
            </w:tcBorders>
            <w:shd w:val="clear" w:color="auto" w:fill="FFFF99"/>
            <w:noWrap/>
            <w:vAlign w:val="bottom"/>
            <w:hideMark/>
          </w:tcPr>
          <w:p w:rsidR="004C0DF2" w:rsidRDefault="004C0DF2" w:rsidP="007C006E">
            <w:pPr>
              <w:numPr>
                <w:ilvl w:val="1"/>
                <w:numId w:val="6"/>
              </w:numPr>
              <w:rPr>
                <w:rFonts w:ascii="Arial" w:hAnsi="Arial" w:cs="Arial"/>
              </w:rPr>
            </w:pPr>
            <w:r w:rsidRPr="00885829">
              <w:rPr>
                <w:rFonts w:ascii="Arial" w:hAnsi="Arial" w:cs="Arial"/>
                <w:i/>
              </w:rPr>
              <w:t>of which:</w:t>
            </w:r>
            <w:r w:rsidRPr="00885829">
              <w:rPr>
                <w:rFonts w:ascii="Arial" w:hAnsi="Arial" w:cs="Arial"/>
              </w:rPr>
              <w:t xml:space="preserve"> Total </w:t>
            </w:r>
            <w:r>
              <w:rPr>
                <w:rFonts w:ascii="Arial" w:hAnsi="Arial" w:cs="Arial"/>
              </w:rPr>
              <w:t>f</w:t>
            </w:r>
            <w:r w:rsidRPr="00885829">
              <w:rPr>
                <w:rFonts w:ascii="Arial" w:hAnsi="Arial" w:cs="Arial"/>
              </w:rPr>
              <w:t>oreign exchange gains/losses</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0DF2" w:rsidRPr="00303F66" w:rsidRDefault="004C0DF2" w:rsidP="007C006E">
            <w:pPr>
              <w:rPr>
                <w:rFonts w:ascii="Arial" w:hAnsi="Arial" w:cs="Arial"/>
                <w:sz w:val="20"/>
              </w:rPr>
            </w:pPr>
          </w:p>
        </w:tc>
      </w:tr>
    </w:tbl>
    <w:p w:rsidR="004C0DF2" w:rsidRDefault="004C0DF2" w:rsidP="004C0DF2">
      <w:pPr>
        <w:rPr>
          <w:rFonts w:ascii="Arial" w:hAnsi="Arial" w:cs="Arial"/>
          <w:b/>
          <w:szCs w:val="24"/>
        </w:rPr>
      </w:pPr>
    </w:p>
    <w:p w:rsidR="004C0DF2" w:rsidRDefault="004C0DF2" w:rsidP="004C0DF2">
      <w:pPr>
        <w:rPr>
          <w:rFonts w:ascii="Arial" w:hAnsi="Arial" w:cs="Arial"/>
          <w:b/>
          <w:szCs w:val="24"/>
        </w:rPr>
      </w:pPr>
    </w:p>
    <w:tbl>
      <w:tblPr>
        <w:tblW w:w="9233" w:type="dxa"/>
        <w:tblInd w:w="89" w:type="dxa"/>
        <w:tblLook w:val="04A0" w:firstRow="1" w:lastRow="0" w:firstColumn="1" w:lastColumn="0" w:noHBand="0" w:noVBand="1"/>
      </w:tblPr>
      <w:tblGrid>
        <w:gridCol w:w="19"/>
        <w:gridCol w:w="7655"/>
        <w:gridCol w:w="1479"/>
        <w:gridCol w:w="80"/>
      </w:tblGrid>
      <w:tr w:rsidR="004C0DF2" w:rsidRPr="00D61862" w:rsidTr="00F242BE">
        <w:trPr>
          <w:gridBefore w:val="1"/>
          <w:gridAfter w:val="1"/>
          <w:wBefore w:w="19" w:type="dxa"/>
          <w:wAfter w:w="80" w:type="dxa"/>
        </w:trPr>
        <w:tc>
          <w:tcPr>
            <w:tcW w:w="9134" w:type="dxa"/>
            <w:gridSpan w:val="2"/>
            <w:shd w:val="clear" w:color="auto" w:fill="FFFF99"/>
          </w:tcPr>
          <w:p w:rsidR="004C0DF2" w:rsidRPr="00D61862" w:rsidRDefault="004C0DF2" w:rsidP="007C006E">
            <w:pPr>
              <w:rPr>
                <w:rFonts w:ascii="Arial" w:eastAsia="Times New Roman" w:hAnsi="Arial" w:cs="Arial"/>
                <w:b/>
                <w:bCs/>
                <w:color w:val="000000"/>
                <w:sz w:val="24"/>
                <w:szCs w:val="24"/>
                <w:lang w:eastAsia="en-AU"/>
              </w:rPr>
            </w:pPr>
            <w:r w:rsidRPr="00D61862">
              <w:rPr>
                <w:rFonts w:ascii="Arial" w:eastAsia="Times New Roman" w:hAnsi="Arial" w:cs="Arial"/>
                <w:b/>
                <w:bCs/>
                <w:color w:val="000000"/>
                <w:sz w:val="24"/>
                <w:szCs w:val="24"/>
                <w:lang w:eastAsia="en-AU"/>
              </w:rPr>
              <w:t>Members' benefit</w:t>
            </w:r>
            <w:r>
              <w:rPr>
                <w:rFonts w:ascii="Arial" w:eastAsia="Times New Roman" w:hAnsi="Arial" w:cs="Arial"/>
                <w:b/>
                <w:bCs/>
                <w:color w:val="000000"/>
                <w:sz w:val="24"/>
                <w:szCs w:val="24"/>
                <w:lang w:eastAsia="en-AU"/>
              </w:rPr>
              <w:t>s flows</w:t>
            </w:r>
          </w:p>
        </w:tc>
      </w:tr>
      <w:tr w:rsidR="00F242BE" w:rsidRPr="00D61862" w:rsidTr="00F242BE">
        <w:trPr>
          <w:gridBefore w:val="1"/>
          <w:gridAfter w:val="1"/>
          <w:wBefore w:w="19" w:type="dxa"/>
          <w:wAfter w:w="80" w:type="dxa"/>
        </w:trPr>
        <w:tc>
          <w:tcPr>
            <w:tcW w:w="9134" w:type="dxa"/>
            <w:gridSpan w:val="2"/>
            <w:shd w:val="clear" w:color="auto" w:fill="FFFF99"/>
          </w:tcPr>
          <w:p w:rsidR="00F242BE" w:rsidRPr="00D61862" w:rsidRDefault="00F242BE" w:rsidP="007C006E">
            <w:pPr>
              <w:rPr>
                <w:rFonts w:ascii="Arial" w:eastAsia="Times New Roman" w:hAnsi="Arial" w:cs="Arial"/>
                <w:b/>
                <w:bCs/>
                <w:color w:val="000000"/>
                <w:sz w:val="24"/>
                <w:szCs w:val="24"/>
                <w:lang w:eastAsia="en-AU"/>
              </w:rPr>
            </w:pPr>
          </w:p>
        </w:tc>
      </w:tr>
      <w:tr w:rsidR="004C0DF2" w:rsidRPr="002E7591" w:rsidTr="00F242BE">
        <w:tblPrEx>
          <w:shd w:val="clear" w:color="auto" w:fill="92CDDC"/>
        </w:tblPrEx>
        <w:trPr>
          <w:trHeight w:val="317"/>
        </w:trPr>
        <w:tc>
          <w:tcPr>
            <w:tcW w:w="7674" w:type="dxa"/>
            <w:gridSpan w:val="2"/>
            <w:tcBorders>
              <w:top w:val="nil"/>
              <w:left w:val="nil"/>
              <w:bottom w:val="nil"/>
              <w:right w:val="nil"/>
            </w:tcBorders>
            <w:shd w:val="clear" w:color="auto" w:fill="FFFF99"/>
            <w:noWrap/>
            <w:vAlign w:val="center"/>
            <w:hideMark/>
          </w:tcPr>
          <w:p w:rsidR="004C0DF2" w:rsidRPr="0094027B" w:rsidRDefault="004C0DF2" w:rsidP="007C006E">
            <w:pPr>
              <w:numPr>
                <w:ilvl w:val="0"/>
                <w:numId w:val="6"/>
              </w:numPr>
              <w:rPr>
                <w:rFonts w:ascii="Arial" w:eastAsia="Times New Roman" w:hAnsi="Arial" w:cs="Arial"/>
                <w:b/>
                <w:bCs/>
                <w:szCs w:val="24"/>
                <w:lang w:eastAsia="en-AU"/>
              </w:rPr>
            </w:pPr>
            <w:r w:rsidRPr="0094027B">
              <w:rPr>
                <w:rFonts w:ascii="Arial" w:eastAsia="Times New Roman" w:hAnsi="Arial" w:cs="Arial"/>
                <w:b/>
                <w:bCs/>
                <w:szCs w:val="24"/>
                <w:lang w:eastAsia="en-AU"/>
              </w:rPr>
              <w:t>Members' benefit</w:t>
            </w:r>
            <w:r>
              <w:rPr>
                <w:rFonts w:ascii="Arial" w:eastAsia="Times New Roman" w:hAnsi="Arial" w:cs="Arial"/>
                <w:b/>
                <w:bCs/>
                <w:szCs w:val="24"/>
                <w:lang w:eastAsia="en-AU"/>
              </w:rPr>
              <w:t>s flows</w:t>
            </w:r>
            <w:r w:rsidRPr="0094027B">
              <w:rPr>
                <w:rFonts w:ascii="Arial" w:eastAsia="Times New Roman" w:hAnsi="Arial" w:cs="Arial"/>
                <w:b/>
                <w:bCs/>
                <w:szCs w:val="24"/>
                <w:lang w:eastAsia="en-AU"/>
              </w:rPr>
              <w:t xml:space="preserve"> in</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4C0DF2" w:rsidRPr="0094027B" w:rsidRDefault="004C0DF2" w:rsidP="007C006E">
            <w:pPr>
              <w:jc w:val="center"/>
              <w:rPr>
                <w:rFonts w:ascii="Arial" w:eastAsia="Times New Roman" w:hAnsi="Arial" w:cs="Arial"/>
                <w:color w:val="000000"/>
                <w:sz w:val="20"/>
                <w:szCs w:val="20"/>
                <w:lang w:eastAsia="en-AU"/>
              </w:rPr>
            </w:pPr>
            <w:r w:rsidRPr="0094027B">
              <w:rPr>
                <w:rFonts w:ascii="Arial" w:eastAsia="Times New Roman" w:hAnsi="Arial" w:cs="Arial"/>
                <w:color w:val="000000"/>
                <w:sz w:val="20"/>
                <w:szCs w:val="20"/>
                <w:lang w:eastAsia="en-AU"/>
              </w:rPr>
              <w:t> </w:t>
            </w:r>
          </w:p>
        </w:tc>
      </w:tr>
      <w:tr w:rsidR="004C0DF2" w:rsidRPr="002E7591" w:rsidTr="00F242BE">
        <w:tblPrEx>
          <w:shd w:val="clear" w:color="auto" w:fill="92CDDC"/>
        </w:tblPrEx>
        <w:trPr>
          <w:trHeight w:val="317"/>
        </w:trPr>
        <w:tc>
          <w:tcPr>
            <w:tcW w:w="7674" w:type="dxa"/>
            <w:gridSpan w:val="2"/>
            <w:tcBorders>
              <w:top w:val="nil"/>
              <w:left w:val="nil"/>
              <w:bottom w:val="nil"/>
              <w:right w:val="nil"/>
            </w:tcBorders>
            <w:shd w:val="clear" w:color="auto" w:fill="FFFF99"/>
            <w:noWrap/>
            <w:vAlign w:val="center"/>
            <w:hideMark/>
          </w:tcPr>
          <w:p w:rsidR="004C0DF2" w:rsidRPr="0094027B" w:rsidRDefault="004C0DF2" w:rsidP="007C006E">
            <w:pPr>
              <w:numPr>
                <w:ilvl w:val="0"/>
                <w:numId w:val="6"/>
              </w:numPr>
              <w:rPr>
                <w:rFonts w:ascii="Arial" w:eastAsia="Times New Roman" w:hAnsi="Arial" w:cs="Arial"/>
                <w:b/>
                <w:bCs/>
                <w:szCs w:val="24"/>
                <w:lang w:eastAsia="en-AU"/>
              </w:rPr>
            </w:pPr>
            <w:r w:rsidRPr="0094027B">
              <w:rPr>
                <w:rFonts w:ascii="Arial" w:eastAsia="Times New Roman" w:hAnsi="Arial" w:cs="Arial"/>
                <w:b/>
                <w:bCs/>
                <w:szCs w:val="24"/>
                <w:lang w:eastAsia="en-AU"/>
              </w:rPr>
              <w:t>Members' benefit</w:t>
            </w:r>
            <w:r>
              <w:rPr>
                <w:rFonts w:ascii="Arial" w:eastAsia="Times New Roman" w:hAnsi="Arial" w:cs="Arial"/>
                <w:b/>
                <w:bCs/>
                <w:szCs w:val="24"/>
                <w:lang w:eastAsia="en-AU"/>
              </w:rPr>
              <w:t>s flows</w:t>
            </w:r>
            <w:r w:rsidRPr="0094027B">
              <w:rPr>
                <w:rFonts w:ascii="Arial" w:eastAsia="Times New Roman" w:hAnsi="Arial" w:cs="Arial"/>
                <w:b/>
                <w:bCs/>
                <w:szCs w:val="24"/>
                <w:lang w:eastAsia="en-AU"/>
              </w:rPr>
              <w:t xml:space="preserve"> out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0DF2" w:rsidRPr="0094027B" w:rsidRDefault="004C0DF2" w:rsidP="007C006E">
            <w:pPr>
              <w:jc w:val="center"/>
              <w:rPr>
                <w:rFonts w:ascii="Arial" w:eastAsia="Times New Roman" w:hAnsi="Arial" w:cs="Arial"/>
                <w:color w:val="000000"/>
                <w:sz w:val="20"/>
                <w:szCs w:val="20"/>
                <w:lang w:eastAsia="en-AU"/>
              </w:rPr>
            </w:pPr>
            <w:r w:rsidRPr="0094027B">
              <w:rPr>
                <w:rFonts w:ascii="Arial" w:eastAsia="Times New Roman" w:hAnsi="Arial" w:cs="Arial"/>
                <w:color w:val="000000"/>
                <w:sz w:val="20"/>
                <w:szCs w:val="20"/>
                <w:lang w:eastAsia="en-AU"/>
              </w:rPr>
              <w:t> </w:t>
            </w:r>
          </w:p>
        </w:tc>
      </w:tr>
      <w:tr w:rsidR="004C0DF2" w:rsidRPr="002E7591" w:rsidTr="00F242BE">
        <w:tblPrEx>
          <w:shd w:val="clear" w:color="auto" w:fill="92CDDC"/>
        </w:tblPrEx>
        <w:trPr>
          <w:trHeight w:val="317"/>
        </w:trPr>
        <w:tc>
          <w:tcPr>
            <w:tcW w:w="7674" w:type="dxa"/>
            <w:gridSpan w:val="2"/>
            <w:tcBorders>
              <w:top w:val="nil"/>
              <w:left w:val="nil"/>
              <w:bottom w:val="nil"/>
              <w:right w:val="nil"/>
            </w:tcBorders>
            <w:shd w:val="clear" w:color="auto" w:fill="FFFF99"/>
            <w:noWrap/>
            <w:vAlign w:val="center"/>
          </w:tcPr>
          <w:p w:rsidR="004C0DF2" w:rsidRPr="0094027B" w:rsidRDefault="004C0DF2" w:rsidP="007C006E">
            <w:pPr>
              <w:numPr>
                <w:ilvl w:val="0"/>
                <w:numId w:val="6"/>
              </w:numPr>
              <w:rPr>
                <w:rFonts w:ascii="Arial" w:eastAsia="Times New Roman" w:hAnsi="Arial" w:cs="Arial"/>
                <w:b/>
                <w:bCs/>
                <w:szCs w:val="24"/>
                <w:lang w:eastAsia="en-AU"/>
              </w:rPr>
            </w:pPr>
            <w:r>
              <w:rPr>
                <w:rFonts w:ascii="Arial" w:eastAsia="Times New Roman" w:hAnsi="Arial" w:cs="Arial"/>
                <w:b/>
                <w:bCs/>
                <w:szCs w:val="24"/>
                <w:lang w:eastAsia="en-AU"/>
              </w:rPr>
              <w:t>Net members’ benefits flows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4C0DF2" w:rsidRPr="0094027B" w:rsidRDefault="004C0DF2" w:rsidP="007C006E">
            <w:pPr>
              <w:jc w:val="center"/>
              <w:rPr>
                <w:rFonts w:ascii="Arial" w:eastAsia="Times New Roman" w:hAnsi="Arial" w:cs="Arial"/>
                <w:color w:val="000000"/>
                <w:sz w:val="20"/>
                <w:szCs w:val="20"/>
                <w:lang w:eastAsia="en-AU"/>
              </w:rPr>
            </w:pPr>
          </w:p>
        </w:tc>
      </w:tr>
    </w:tbl>
    <w:p w:rsidR="004C0DF2" w:rsidRDefault="004C0DF2" w:rsidP="00D05E09">
      <w:pPr>
        <w:widowControl w:val="0"/>
        <w:spacing w:after="240"/>
        <w:jc w:val="both"/>
        <w:rPr>
          <w:rFonts w:ascii="Arial" w:hAnsi="Arial" w:cs="Arial"/>
          <w:b/>
          <w:color w:val="000000"/>
          <w:sz w:val="40"/>
          <w:szCs w:val="40"/>
        </w:rPr>
        <w:sectPr w:rsidR="004C0DF2" w:rsidSect="004560C6">
          <w:footerReference w:type="default" r:id="rId16"/>
          <w:footnotePr>
            <w:numRestart w:val="eachSect"/>
          </w:footnotePr>
          <w:pgSz w:w="11906" w:h="16838" w:code="9"/>
          <w:pgMar w:top="1440" w:right="1440" w:bottom="1440" w:left="1440" w:header="709" w:footer="709" w:gutter="0"/>
          <w:pgNumType w:start="1"/>
          <w:cols w:space="708"/>
          <w:docGrid w:linePitch="360"/>
        </w:sectPr>
      </w:pPr>
    </w:p>
    <w:p w:rsidR="00B04B20" w:rsidRPr="00FF59B0" w:rsidRDefault="00054C93" w:rsidP="00D05E09">
      <w:pPr>
        <w:widowControl w:val="0"/>
        <w:spacing w:after="240"/>
        <w:jc w:val="both"/>
        <w:rPr>
          <w:rFonts w:ascii="Arial" w:hAnsi="Arial" w:cs="Arial"/>
          <w:b/>
          <w:color w:val="000000"/>
          <w:sz w:val="40"/>
          <w:szCs w:val="40"/>
        </w:rPr>
      </w:pPr>
      <w:r w:rsidRPr="00FF59B0">
        <w:rPr>
          <w:rFonts w:ascii="Arial" w:hAnsi="Arial" w:cs="Arial"/>
          <w:b/>
          <w:color w:val="000000"/>
          <w:sz w:val="40"/>
          <w:szCs w:val="40"/>
        </w:rPr>
        <w:lastRenderedPageBreak/>
        <w:t xml:space="preserve">Reporting </w:t>
      </w:r>
      <w:r w:rsidR="00B315E6" w:rsidRPr="00FF59B0">
        <w:rPr>
          <w:rFonts w:ascii="Arial" w:hAnsi="Arial" w:cs="Arial"/>
          <w:b/>
          <w:color w:val="000000"/>
          <w:sz w:val="40"/>
          <w:szCs w:val="40"/>
        </w:rPr>
        <w:t>F</w:t>
      </w:r>
      <w:r w:rsidRPr="00FF59B0">
        <w:rPr>
          <w:rFonts w:ascii="Arial" w:hAnsi="Arial" w:cs="Arial"/>
          <w:b/>
          <w:color w:val="000000"/>
          <w:sz w:val="40"/>
          <w:szCs w:val="40"/>
        </w:rPr>
        <w:t xml:space="preserve">orm SRF </w:t>
      </w:r>
      <w:r w:rsidR="007C006E">
        <w:rPr>
          <w:rFonts w:ascii="Arial" w:hAnsi="Arial" w:cs="Arial"/>
          <w:b/>
          <w:color w:val="000000"/>
          <w:sz w:val="40"/>
          <w:szCs w:val="40"/>
        </w:rPr>
        <w:t>533.1</w:t>
      </w:r>
    </w:p>
    <w:p w:rsidR="00054C93" w:rsidRPr="00FF59B0" w:rsidRDefault="00E34DF4" w:rsidP="00EE76C0">
      <w:pPr>
        <w:widowControl w:val="0"/>
        <w:spacing w:before="360" w:after="240"/>
        <w:jc w:val="both"/>
        <w:rPr>
          <w:rFonts w:ascii="Arial" w:hAnsi="Arial" w:cs="Arial"/>
          <w:b/>
          <w:color w:val="000000"/>
          <w:sz w:val="40"/>
          <w:szCs w:val="40"/>
        </w:rPr>
      </w:pPr>
      <w:r>
        <w:rPr>
          <w:rFonts w:ascii="Arial" w:hAnsi="Arial" w:cs="Arial"/>
          <w:b/>
          <w:color w:val="000000"/>
          <w:sz w:val="40"/>
          <w:szCs w:val="40"/>
        </w:rPr>
        <w:t xml:space="preserve">Asset Allocation and </w:t>
      </w:r>
      <w:r>
        <w:rPr>
          <w:rFonts w:ascii="Arial" w:eastAsia="Times New Roman" w:hAnsi="Arial" w:cs="Arial"/>
          <w:b/>
          <w:sz w:val="40"/>
          <w:szCs w:val="40"/>
          <w:lang w:eastAsia="en-AU"/>
        </w:rPr>
        <w:t>Members’ Benefits Flows</w:t>
      </w:r>
    </w:p>
    <w:p w:rsidR="00054C93" w:rsidRPr="00FF59B0" w:rsidRDefault="00054C93" w:rsidP="00EE76C0">
      <w:pPr>
        <w:widowControl w:val="0"/>
        <w:spacing w:before="360" w:after="240"/>
        <w:jc w:val="both"/>
        <w:rPr>
          <w:rFonts w:ascii="Arial" w:hAnsi="Arial" w:cs="Arial"/>
          <w:b/>
          <w:color w:val="000000"/>
          <w:sz w:val="40"/>
          <w:szCs w:val="40"/>
        </w:rPr>
      </w:pPr>
      <w:r w:rsidRPr="00FF59B0">
        <w:rPr>
          <w:rFonts w:ascii="Arial" w:hAnsi="Arial" w:cs="Arial"/>
          <w:b/>
          <w:color w:val="000000"/>
          <w:sz w:val="40"/>
          <w:szCs w:val="40"/>
        </w:rPr>
        <w:t>Instruction</w:t>
      </w:r>
      <w:r w:rsidR="00D55339" w:rsidRPr="00FF59B0">
        <w:rPr>
          <w:rFonts w:ascii="Arial" w:hAnsi="Arial" w:cs="Arial"/>
          <w:b/>
          <w:color w:val="000000"/>
          <w:sz w:val="40"/>
          <w:szCs w:val="40"/>
        </w:rPr>
        <w:t>s</w:t>
      </w:r>
    </w:p>
    <w:p w:rsidR="00210F6B" w:rsidRPr="00FF59B0" w:rsidRDefault="00D6141B" w:rsidP="00EE76C0">
      <w:pPr>
        <w:widowControl w:val="0"/>
        <w:spacing w:after="240"/>
        <w:jc w:val="both"/>
        <w:rPr>
          <w:rFonts w:ascii="Times New Roman" w:hAnsi="Times New Roman"/>
          <w:color w:val="000000"/>
          <w:sz w:val="24"/>
          <w:szCs w:val="24"/>
        </w:rPr>
      </w:pPr>
      <w:r w:rsidRPr="00FF59B0">
        <w:rPr>
          <w:rFonts w:ascii="Times New Roman" w:eastAsia="Times New Roman" w:hAnsi="Times New Roman"/>
          <w:color w:val="000000"/>
          <w:sz w:val="24"/>
          <w:szCs w:val="24"/>
        </w:rPr>
        <w:t xml:space="preserve">These </w:t>
      </w:r>
      <w:r w:rsidR="00210F6B" w:rsidRPr="00FF59B0">
        <w:rPr>
          <w:rFonts w:ascii="Times New Roman" w:eastAsia="Times New Roman" w:hAnsi="Times New Roman"/>
          <w:color w:val="000000"/>
          <w:sz w:val="24"/>
          <w:szCs w:val="24"/>
        </w:rPr>
        <w:t>instruction</w:t>
      </w:r>
      <w:r w:rsidRPr="00FF59B0">
        <w:rPr>
          <w:rFonts w:ascii="Times New Roman" w:eastAsia="Times New Roman" w:hAnsi="Times New Roman"/>
          <w:color w:val="000000"/>
          <w:sz w:val="24"/>
          <w:szCs w:val="24"/>
        </w:rPr>
        <w:t xml:space="preserve">s </w:t>
      </w:r>
      <w:r w:rsidR="00210F6B" w:rsidRPr="00FF59B0">
        <w:rPr>
          <w:rFonts w:ascii="Times New Roman" w:eastAsia="Times New Roman" w:hAnsi="Times New Roman"/>
          <w:color w:val="000000"/>
          <w:sz w:val="24"/>
          <w:szCs w:val="24"/>
        </w:rPr>
        <w:t xml:space="preserve">assist completion of </w:t>
      </w:r>
      <w:r w:rsidR="00210F6B" w:rsidRPr="00FF59B0">
        <w:rPr>
          <w:rFonts w:ascii="Times New Roman" w:eastAsia="Times New Roman" w:hAnsi="Times New Roman"/>
          <w:i/>
          <w:color w:val="000000"/>
          <w:sz w:val="24"/>
          <w:szCs w:val="24"/>
        </w:rPr>
        <w:t xml:space="preserve">Reporting Form SRF </w:t>
      </w:r>
      <w:r w:rsidR="007C006E">
        <w:rPr>
          <w:rFonts w:ascii="Times New Roman" w:eastAsia="Times New Roman" w:hAnsi="Times New Roman"/>
          <w:i/>
          <w:color w:val="000000"/>
          <w:sz w:val="24"/>
          <w:szCs w:val="24"/>
        </w:rPr>
        <w:t>533.1 Asset Allocation and Members’ Benefits Flows</w:t>
      </w:r>
      <w:r w:rsidR="0067566A" w:rsidRPr="00FF59B0">
        <w:rPr>
          <w:rFonts w:ascii="Times New Roman" w:eastAsia="Times New Roman" w:hAnsi="Times New Roman"/>
          <w:i/>
          <w:color w:val="000000"/>
          <w:sz w:val="24"/>
          <w:szCs w:val="24"/>
        </w:rPr>
        <w:t xml:space="preserve"> </w:t>
      </w:r>
      <w:r w:rsidR="00210F6B" w:rsidRPr="00FF59B0">
        <w:rPr>
          <w:rFonts w:ascii="Times New Roman" w:eastAsia="Times New Roman" w:hAnsi="Times New Roman"/>
          <w:color w:val="000000"/>
          <w:sz w:val="24"/>
          <w:szCs w:val="24"/>
        </w:rPr>
        <w:t>(</w:t>
      </w:r>
      <w:r w:rsidR="00210F6B" w:rsidRPr="00970DFD">
        <w:rPr>
          <w:rFonts w:ascii="Times New Roman" w:eastAsia="Times New Roman" w:hAnsi="Times New Roman"/>
          <w:color w:val="000000"/>
          <w:sz w:val="24"/>
          <w:szCs w:val="24"/>
        </w:rPr>
        <w:t xml:space="preserve">SRF </w:t>
      </w:r>
      <w:r w:rsidR="007C006E">
        <w:rPr>
          <w:rFonts w:ascii="Times New Roman" w:eastAsia="Times New Roman" w:hAnsi="Times New Roman"/>
          <w:color w:val="000000"/>
          <w:sz w:val="24"/>
          <w:szCs w:val="24"/>
        </w:rPr>
        <w:t>533.1</w:t>
      </w:r>
      <w:r w:rsidR="00210F6B" w:rsidRPr="00FF59B0">
        <w:rPr>
          <w:rFonts w:ascii="Times New Roman" w:eastAsia="Times New Roman" w:hAnsi="Times New Roman"/>
          <w:color w:val="000000"/>
          <w:sz w:val="24"/>
          <w:szCs w:val="24"/>
        </w:rPr>
        <w:t>)</w:t>
      </w:r>
      <w:r w:rsidRPr="00FF59B0">
        <w:rPr>
          <w:rFonts w:ascii="Times New Roman" w:eastAsia="Times New Roman" w:hAnsi="Times New Roman"/>
          <w:color w:val="000000"/>
          <w:sz w:val="24"/>
          <w:szCs w:val="24"/>
        </w:rPr>
        <w:t>.</w:t>
      </w:r>
      <w:r w:rsidR="00210F6B" w:rsidRPr="00FF59B0">
        <w:rPr>
          <w:rFonts w:ascii="Times New Roman" w:eastAsia="Times New Roman" w:hAnsi="Times New Roman"/>
          <w:color w:val="000000"/>
          <w:sz w:val="24"/>
          <w:szCs w:val="24"/>
        </w:rPr>
        <w:t xml:space="preserve"> </w:t>
      </w:r>
      <w:r w:rsidR="0067566A" w:rsidRPr="00FF59B0">
        <w:rPr>
          <w:rFonts w:ascii="Times New Roman" w:hAnsi="Times New Roman"/>
          <w:color w:val="000000"/>
          <w:sz w:val="24"/>
          <w:szCs w:val="24"/>
        </w:rPr>
        <w:t xml:space="preserve">SRF </w:t>
      </w:r>
      <w:r w:rsidR="007C006E">
        <w:rPr>
          <w:rFonts w:ascii="Times New Roman" w:hAnsi="Times New Roman"/>
          <w:color w:val="000000"/>
          <w:sz w:val="24"/>
          <w:szCs w:val="24"/>
        </w:rPr>
        <w:t>533.1</w:t>
      </w:r>
      <w:r w:rsidR="00210F6B" w:rsidRPr="00FF59B0">
        <w:rPr>
          <w:rFonts w:ascii="Times New Roman" w:hAnsi="Times New Roman"/>
          <w:color w:val="000000"/>
          <w:sz w:val="24"/>
          <w:szCs w:val="24"/>
        </w:rPr>
        <w:t xml:space="preserve"> collects information on the strategic </w:t>
      </w:r>
      <w:r w:rsidR="00EF6D09" w:rsidRPr="00FF59B0">
        <w:rPr>
          <w:rFonts w:ascii="Times New Roman" w:hAnsi="Times New Roman"/>
          <w:color w:val="000000"/>
          <w:sz w:val="24"/>
          <w:szCs w:val="24"/>
        </w:rPr>
        <w:t xml:space="preserve">and actual </w:t>
      </w:r>
      <w:r w:rsidR="00210F6B" w:rsidRPr="00FF59B0">
        <w:rPr>
          <w:rFonts w:ascii="Times New Roman" w:hAnsi="Times New Roman"/>
          <w:color w:val="000000"/>
          <w:sz w:val="24"/>
          <w:szCs w:val="24"/>
        </w:rPr>
        <w:t xml:space="preserve">asset allocation </w:t>
      </w:r>
      <w:r w:rsidR="00E34DF4">
        <w:rPr>
          <w:rFonts w:ascii="Times New Roman" w:eastAsia="Times" w:hAnsi="Times New Roman"/>
          <w:sz w:val="24"/>
          <w:szCs w:val="24"/>
        </w:rPr>
        <w:t xml:space="preserve">and members’ benefits flows </w:t>
      </w:r>
      <w:r w:rsidR="00210F6B" w:rsidRPr="00FF59B0">
        <w:rPr>
          <w:rFonts w:ascii="Times New Roman" w:hAnsi="Times New Roman"/>
          <w:color w:val="000000"/>
          <w:sz w:val="24"/>
          <w:szCs w:val="24"/>
        </w:rPr>
        <w:t>of</w:t>
      </w:r>
      <w:r w:rsidR="00775E00" w:rsidRPr="00FF59B0">
        <w:rPr>
          <w:rFonts w:ascii="Times New Roman" w:hAnsi="Times New Roman"/>
          <w:color w:val="000000"/>
          <w:sz w:val="24"/>
          <w:szCs w:val="24"/>
        </w:rPr>
        <w:t xml:space="preserve"> each</w:t>
      </w:r>
      <w:r w:rsidR="00210F6B" w:rsidRPr="00FF59B0">
        <w:rPr>
          <w:rFonts w:ascii="Times New Roman" w:hAnsi="Times New Roman"/>
          <w:color w:val="000000"/>
          <w:sz w:val="24"/>
          <w:szCs w:val="24"/>
        </w:rPr>
        <w:t xml:space="preserve"> investment option. Information </w:t>
      </w:r>
      <w:r w:rsidR="0067566A" w:rsidRPr="00FF59B0">
        <w:rPr>
          <w:rFonts w:ascii="Times New Roman" w:hAnsi="Times New Roman"/>
          <w:color w:val="000000"/>
          <w:sz w:val="24"/>
          <w:szCs w:val="24"/>
        </w:rPr>
        <w:t xml:space="preserve">reported in SRF </w:t>
      </w:r>
      <w:r w:rsidR="007C006E">
        <w:rPr>
          <w:rFonts w:ascii="Times New Roman" w:hAnsi="Times New Roman"/>
          <w:color w:val="000000"/>
          <w:sz w:val="24"/>
          <w:szCs w:val="24"/>
        </w:rPr>
        <w:t>533.1</w:t>
      </w:r>
      <w:r w:rsidR="00210F6B" w:rsidRPr="00FF59B0">
        <w:rPr>
          <w:rFonts w:ascii="Times New Roman" w:hAnsi="Times New Roman"/>
          <w:color w:val="000000"/>
          <w:sz w:val="24"/>
          <w:szCs w:val="24"/>
        </w:rPr>
        <w:t xml:space="preserve"> is required for prudential and publication purposes.</w:t>
      </w:r>
      <w:r w:rsidR="00A63ECC" w:rsidRPr="00A63ECC">
        <w:rPr>
          <w:rFonts w:ascii="Times New Roman" w:hAnsi="Times New Roman"/>
          <w:sz w:val="24"/>
          <w:szCs w:val="24"/>
        </w:rPr>
        <w:t xml:space="preserve"> </w:t>
      </w:r>
      <w:r w:rsidR="00A63ECC">
        <w:rPr>
          <w:rFonts w:ascii="Times New Roman" w:hAnsi="Times New Roman"/>
          <w:sz w:val="24"/>
          <w:szCs w:val="24"/>
        </w:rPr>
        <w:t xml:space="preserve">Information reported on SRF </w:t>
      </w:r>
      <w:r w:rsidR="007C006E">
        <w:rPr>
          <w:rFonts w:ascii="Times New Roman" w:hAnsi="Times New Roman"/>
          <w:sz w:val="24"/>
          <w:szCs w:val="24"/>
        </w:rPr>
        <w:t>533.1</w:t>
      </w:r>
      <w:r w:rsidR="00A63ECC">
        <w:rPr>
          <w:rFonts w:ascii="Times New Roman" w:hAnsi="Times New Roman"/>
          <w:sz w:val="24"/>
          <w:szCs w:val="24"/>
        </w:rPr>
        <w:t xml:space="preserve"> is also required for the purposes of the </w:t>
      </w:r>
      <w:r w:rsidR="00A63ECC" w:rsidRPr="00FB09D3">
        <w:rPr>
          <w:rFonts w:ascii="Times New Roman" w:hAnsi="Times New Roman"/>
          <w:sz w:val="24"/>
          <w:szCs w:val="24"/>
        </w:rPr>
        <w:t>Australian Bureau of Statistics.</w:t>
      </w:r>
    </w:p>
    <w:p w:rsidR="00135C27" w:rsidRPr="00FF59B0" w:rsidRDefault="00135C27" w:rsidP="00EE76C0">
      <w:pPr>
        <w:widowControl w:val="0"/>
        <w:spacing w:before="240" w:after="240"/>
        <w:jc w:val="both"/>
        <w:rPr>
          <w:rFonts w:ascii="Arial" w:hAnsi="Arial" w:cs="Arial"/>
          <w:b/>
          <w:color w:val="000000"/>
          <w:sz w:val="32"/>
          <w:szCs w:val="32"/>
        </w:rPr>
      </w:pPr>
      <w:r w:rsidRPr="00FF59B0">
        <w:rPr>
          <w:rFonts w:ascii="Arial" w:hAnsi="Arial" w:cs="Arial"/>
          <w:b/>
          <w:color w:val="000000"/>
          <w:sz w:val="32"/>
          <w:szCs w:val="32"/>
        </w:rPr>
        <w:t>Reporting level</w:t>
      </w:r>
    </w:p>
    <w:p w:rsidR="00325ED8" w:rsidRDefault="006D585E" w:rsidP="00EE76C0">
      <w:pPr>
        <w:widowControl w:val="0"/>
        <w:spacing w:after="240"/>
        <w:jc w:val="both"/>
        <w:rPr>
          <w:rFonts w:ascii="Times New Roman" w:hAnsi="Times New Roman"/>
          <w:color w:val="000000"/>
          <w:sz w:val="24"/>
          <w:szCs w:val="24"/>
        </w:rPr>
      </w:pPr>
      <w:r>
        <w:rPr>
          <w:rFonts w:ascii="Times New Roman" w:hAnsi="Times New Roman"/>
          <w:color w:val="000000"/>
          <w:sz w:val="24"/>
          <w:szCs w:val="24"/>
        </w:rPr>
        <w:t xml:space="preserve">SRF </w:t>
      </w:r>
      <w:r w:rsidR="007C006E">
        <w:rPr>
          <w:rFonts w:ascii="Times New Roman" w:hAnsi="Times New Roman"/>
          <w:color w:val="000000"/>
          <w:sz w:val="24"/>
          <w:szCs w:val="24"/>
        </w:rPr>
        <w:t>533.1</w:t>
      </w:r>
      <w:r w:rsidR="00135C27" w:rsidRPr="00FF59B0">
        <w:rPr>
          <w:rFonts w:ascii="Times New Roman" w:hAnsi="Times New Roman"/>
          <w:color w:val="000000"/>
          <w:sz w:val="24"/>
          <w:szCs w:val="24"/>
        </w:rPr>
        <w:t xml:space="preserve"> must be completed for </w:t>
      </w:r>
      <w:r w:rsidR="00D6141B" w:rsidRPr="00FF59B0">
        <w:rPr>
          <w:rFonts w:ascii="Times New Roman" w:hAnsi="Times New Roman"/>
          <w:color w:val="000000"/>
          <w:sz w:val="24"/>
          <w:szCs w:val="24"/>
        </w:rPr>
        <w:t>each</w:t>
      </w:r>
      <w:r w:rsidR="00325ED8">
        <w:rPr>
          <w:rFonts w:ascii="Times New Roman" w:hAnsi="Times New Roman"/>
          <w:color w:val="000000"/>
          <w:sz w:val="24"/>
          <w:szCs w:val="24"/>
        </w:rPr>
        <w:t xml:space="preserve"> </w:t>
      </w:r>
      <w:r w:rsidR="00E34DF4">
        <w:rPr>
          <w:rFonts w:ascii="Times New Roman" w:hAnsi="Times New Roman"/>
          <w:color w:val="000000"/>
          <w:sz w:val="24"/>
          <w:szCs w:val="24"/>
        </w:rPr>
        <w:t>s</w:t>
      </w:r>
      <w:r w:rsidR="007C006E">
        <w:rPr>
          <w:rFonts w:ascii="Times New Roman" w:hAnsi="Times New Roman"/>
          <w:color w:val="000000"/>
          <w:sz w:val="24"/>
          <w:szCs w:val="24"/>
        </w:rPr>
        <w:t>elect investment option</w:t>
      </w:r>
      <w:r w:rsidR="00325ED8">
        <w:rPr>
          <w:rFonts w:ascii="Times New Roman" w:hAnsi="Times New Roman"/>
          <w:color w:val="000000"/>
          <w:sz w:val="24"/>
          <w:szCs w:val="24"/>
        </w:rPr>
        <w:t xml:space="preserve">. </w:t>
      </w:r>
    </w:p>
    <w:p w:rsidR="00205B33" w:rsidRDefault="00205B33" w:rsidP="00325ED8">
      <w:pPr>
        <w:widowControl w:val="0"/>
        <w:spacing w:after="240"/>
        <w:jc w:val="both"/>
        <w:rPr>
          <w:rFonts w:ascii="Arial" w:hAnsi="Arial" w:cs="Arial"/>
          <w:b/>
          <w:sz w:val="32"/>
          <w:szCs w:val="32"/>
        </w:rPr>
      </w:pPr>
      <w:r>
        <w:rPr>
          <w:rFonts w:ascii="Arial" w:hAnsi="Arial" w:cs="Arial"/>
          <w:b/>
          <w:sz w:val="32"/>
          <w:szCs w:val="32"/>
        </w:rPr>
        <w:t xml:space="preserve">Reporting basis and </w:t>
      </w:r>
      <w:r w:rsidR="00325ED8">
        <w:rPr>
          <w:rFonts w:ascii="Arial" w:hAnsi="Arial" w:cs="Arial"/>
          <w:b/>
          <w:sz w:val="32"/>
          <w:szCs w:val="32"/>
        </w:rPr>
        <w:t>unit of measurement</w:t>
      </w:r>
    </w:p>
    <w:p w:rsidR="00205B33" w:rsidRPr="006369FA" w:rsidRDefault="00205B33" w:rsidP="00205B33">
      <w:pPr>
        <w:widowControl w:val="0"/>
        <w:spacing w:after="240"/>
        <w:jc w:val="both"/>
        <w:rPr>
          <w:rFonts w:ascii="Times New Roman" w:hAnsi="Times New Roman"/>
          <w:sz w:val="24"/>
          <w:szCs w:val="24"/>
        </w:rPr>
      </w:pPr>
      <w:r w:rsidRPr="006369FA">
        <w:rPr>
          <w:rFonts w:ascii="Times New Roman" w:hAnsi="Times New Roman"/>
          <w:sz w:val="24"/>
          <w:szCs w:val="24"/>
        </w:rPr>
        <w:t>Report all items</w:t>
      </w:r>
      <w:r>
        <w:rPr>
          <w:rFonts w:ascii="Times New Roman" w:hAnsi="Times New Roman"/>
          <w:sz w:val="24"/>
          <w:szCs w:val="24"/>
        </w:rPr>
        <w:t xml:space="preserve"> on SRF </w:t>
      </w:r>
      <w:r w:rsidR="007C006E">
        <w:rPr>
          <w:rFonts w:ascii="Times New Roman" w:hAnsi="Times New Roman"/>
          <w:sz w:val="24"/>
          <w:szCs w:val="24"/>
        </w:rPr>
        <w:t>533.1</w:t>
      </w:r>
      <w:r w:rsidRPr="006369FA">
        <w:rPr>
          <w:rFonts w:ascii="Times New Roman" w:hAnsi="Times New Roman"/>
          <w:sz w:val="24"/>
          <w:szCs w:val="24"/>
        </w:rPr>
        <w:t xml:space="preserve"> in accordance with the Australian Accounting Standards unless otherwise specified. </w:t>
      </w:r>
    </w:p>
    <w:p w:rsidR="00CD0A39" w:rsidRPr="00CD0A39" w:rsidRDefault="00CD0A39" w:rsidP="00CD0A39">
      <w:pPr>
        <w:spacing w:after="240"/>
        <w:jc w:val="both"/>
        <w:rPr>
          <w:rFonts w:ascii="Times New Roman" w:hAnsi="Times New Roman"/>
          <w:sz w:val="24"/>
          <w:szCs w:val="24"/>
        </w:rPr>
      </w:pPr>
      <w:r w:rsidRPr="00CD0A39">
        <w:rPr>
          <w:rFonts w:ascii="Times New Roman" w:hAnsi="Times New Roman"/>
          <w:sz w:val="24"/>
          <w:szCs w:val="24"/>
        </w:rPr>
        <w:t>Assets and liabilities denominated in currencies other than AUD are to be converted to AUD using the mid-point rate (of market buying and selling spot quotations) effective as at the end of the reporting period. An RSE licensee is free to use those AUD exchange rates that it judges to be a representative closing mid-market rate as at the end of the reporting period. However, to ensure consistency across related returns and to assist in the reconciliation between these returns, an RSE licensee should attempt to use the same exchange rates across all returns to APRA.</w:t>
      </w:r>
    </w:p>
    <w:p w:rsidR="00CD0A39" w:rsidRPr="00CD0A39" w:rsidRDefault="00CD0A39" w:rsidP="00CD0A39">
      <w:pPr>
        <w:spacing w:after="240"/>
        <w:jc w:val="both"/>
        <w:rPr>
          <w:rFonts w:ascii="Times New Roman" w:hAnsi="Times New Roman"/>
          <w:sz w:val="24"/>
          <w:szCs w:val="24"/>
        </w:rPr>
      </w:pPr>
      <w:r w:rsidRPr="00CD0A39">
        <w:rPr>
          <w:rFonts w:ascii="Times New Roman" w:hAnsi="Times New Roman"/>
          <w:sz w:val="24"/>
          <w:szCs w:val="24"/>
        </w:rPr>
        <w:t xml:space="preserve">Note: for the major currencies, an RSE licensee may want to use the exchange rates available in the Reserve Bank of Australia (RBA), which are available on the RBA website: </w:t>
      </w:r>
      <w:hyperlink r:id="rId17" w:history="1">
        <w:r w:rsidRPr="0026677C">
          <w:rPr>
            <w:rStyle w:val="Hyperlink"/>
            <w:rFonts w:eastAsia="Times New Roman"/>
            <w:sz w:val="23"/>
            <w:szCs w:val="23"/>
          </w:rPr>
          <w:t>http://www.rba.gov.au/statistics/hist-exchange-rates/index.html</w:t>
        </w:r>
      </w:hyperlink>
      <w:r>
        <w:rPr>
          <w:rFonts w:ascii="Times New Roman" w:eastAsia="Times New Roman" w:hAnsi="Times New Roman"/>
          <w:color w:val="000000"/>
          <w:sz w:val="23"/>
          <w:szCs w:val="23"/>
        </w:rPr>
        <w:t xml:space="preserve">. </w:t>
      </w:r>
    </w:p>
    <w:p w:rsidR="00205B33" w:rsidRDefault="00205B33" w:rsidP="00205B33">
      <w:pPr>
        <w:spacing w:after="240"/>
        <w:jc w:val="both"/>
        <w:rPr>
          <w:rFonts w:ascii="Times New Roman" w:hAnsi="Times New Roman"/>
          <w:sz w:val="24"/>
          <w:szCs w:val="24"/>
        </w:rPr>
      </w:pPr>
      <w:r>
        <w:rPr>
          <w:rFonts w:ascii="Times New Roman" w:hAnsi="Times New Roman"/>
          <w:sz w:val="24"/>
          <w:szCs w:val="24"/>
        </w:rPr>
        <w:t xml:space="preserve">Items on SRF </w:t>
      </w:r>
      <w:r w:rsidR="007C006E">
        <w:rPr>
          <w:rFonts w:ascii="Times New Roman" w:hAnsi="Times New Roman"/>
          <w:sz w:val="24"/>
          <w:szCs w:val="24"/>
        </w:rPr>
        <w:t>533.1</w:t>
      </w:r>
      <w:r>
        <w:rPr>
          <w:rFonts w:ascii="Times New Roman" w:hAnsi="Times New Roman"/>
          <w:sz w:val="24"/>
          <w:szCs w:val="24"/>
        </w:rPr>
        <w:t xml:space="preserve"> must be reported as at the end of the reporting period</w:t>
      </w:r>
      <w:r w:rsidR="002C50E6">
        <w:rPr>
          <w:rFonts w:ascii="Times New Roman" w:hAnsi="Times New Roman"/>
          <w:sz w:val="24"/>
          <w:szCs w:val="24"/>
        </w:rPr>
        <w:t xml:space="preserve"> or with respect to transactions that occurred during the reporting period</w:t>
      </w:r>
      <w:r>
        <w:rPr>
          <w:rFonts w:ascii="Times New Roman" w:hAnsi="Times New Roman"/>
          <w:sz w:val="24"/>
          <w:szCs w:val="24"/>
        </w:rPr>
        <w:t xml:space="preserve">. </w:t>
      </w:r>
      <w:r w:rsidR="000B1201" w:rsidRPr="00C932B3">
        <w:rPr>
          <w:rFonts w:ascii="Times New Roman" w:hAnsi="Times New Roman"/>
          <w:sz w:val="24"/>
          <w:szCs w:val="24"/>
        </w:rPr>
        <w:t>Report information with respect to transactions occurred during the reporting period on a year to date basis, rather than for the individual quarter alone.</w:t>
      </w:r>
    </w:p>
    <w:p w:rsidR="00205B33" w:rsidRDefault="00205B33" w:rsidP="00205B33">
      <w:pPr>
        <w:spacing w:after="240"/>
        <w:jc w:val="both"/>
        <w:rPr>
          <w:rFonts w:ascii="Times New Roman" w:hAnsi="Times New Roman"/>
          <w:sz w:val="24"/>
          <w:szCs w:val="24"/>
        </w:rPr>
      </w:pPr>
      <w:r>
        <w:rPr>
          <w:rFonts w:ascii="Times New Roman" w:hAnsi="Times New Roman"/>
          <w:sz w:val="24"/>
          <w:szCs w:val="24"/>
        </w:rPr>
        <w:t xml:space="preserve">Items on SRF </w:t>
      </w:r>
      <w:r w:rsidR="007C006E">
        <w:rPr>
          <w:rFonts w:ascii="Times New Roman" w:hAnsi="Times New Roman"/>
          <w:sz w:val="24"/>
          <w:szCs w:val="24"/>
        </w:rPr>
        <w:t>533.1</w:t>
      </w:r>
      <w:r>
        <w:rPr>
          <w:rFonts w:ascii="Times New Roman" w:hAnsi="Times New Roman"/>
          <w:sz w:val="24"/>
          <w:szCs w:val="24"/>
        </w:rPr>
        <w:t xml:space="preserve"> are to be reported as thousands of dollars and percentages. Report percentages as a whole number to one decimal place, i.e. 10 per cent is to be reported as 10.0.</w:t>
      </w:r>
    </w:p>
    <w:p w:rsidR="002712FD" w:rsidRPr="00F4321B" w:rsidRDefault="002712FD" w:rsidP="002712FD">
      <w:pPr>
        <w:spacing w:after="240"/>
        <w:jc w:val="both"/>
        <w:rPr>
          <w:rFonts w:ascii="Times New Roman" w:hAnsi="Times New Roman"/>
          <w:color w:val="000000" w:themeColor="text1"/>
          <w:sz w:val="24"/>
        </w:rPr>
      </w:pPr>
      <w:r w:rsidRPr="00F4321B">
        <w:rPr>
          <w:rFonts w:ascii="Times New Roman" w:hAnsi="Times New Roman"/>
          <w:color w:val="000000" w:themeColor="text1"/>
          <w:sz w:val="24"/>
        </w:rPr>
        <w:t xml:space="preserve">Items on SRF </w:t>
      </w:r>
      <w:r w:rsidR="007C006E">
        <w:rPr>
          <w:rFonts w:ascii="Times New Roman" w:hAnsi="Times New Roman"/>
          <w:color w:val="000000" w:themeColor="text1"/>
          <w:sz w:val="24"/>
        </w:rPr>
        <w:t>533.1</w:t>
      </w:r>
      <w:r w:rsidRPr="00F4321B">
        <w:rPr>
          <w:rFonts w:ascii="Times New Roman" w:hAnsi="Times New Roman"/>
          <w:color w:val="000000" w:themeColor="text1"/>
          <w:sz w:val="24"/>
        </w:rPr>
        <w:t xml:space="preserve"> are to be reported on a look</w:t>
      </w:r>
      <w:r w:rsidRPr="00F4321B">
        <w:rPr>
          <w:rFonts w:ascii="Times New Roman" w:hAnsi="Times New Roman"/>
          <w:color w:val="000000" w:themeColor="text1"/>
          <w:sz w:val="24"/>
          <w:szCs w:val="24"/>
        </w:rPr>
        <w:t>-</w:t>
      </w:r>
      <w:r w:rsidRPr="00F4321B">
        <w:rPr>
          <w:rFonts w:ascii="Times New Roman" w:hAnsi="Times New Roman"/>
          <w:color w:val="000000" w:themeColor="text1"/>
          <w:sz w:val="24"/>
        </w:rPr>
        <w:t xml:space="preserve">through basis or a </w:t>
      </w:r>
      <w:r w:rsidRPr="00F4321B">
        <w:rPr>
          <w:rFonts w:ascii="Times New Roman" w:hAnsi="Times New Roman"/>
          <w:color w:val="000000" w:themeColor="text1"/>
          <w:sz w:val="24"/>
          <w:szCs w:val="24"/>
        </w:rPr>
        <w:t>non-</w:t>
      </w:r>
      <w:r w:rsidRPr="00F4321B">
        <w:rPr>
          <w:rFonts w:ascii="Times New Roman" w:hAnsi="Times New Roman"/>
          <w:color w:val="000000" w:themeColor="text1"/>
          <w:sz w:val="24"/>
        </w:rPr>
        <w:t>look</w:t>
      </w:r>
      <w:r w:rsidRPr="00F4321B">
        <w:rPr>
          <w:rFonts w:ascii="Times New Roman" w:hAnsi="Times New Roman"/>
          <w:color w:val="000000" w:themeColor="text1"/>
          <w:sz w:val="24"/>
          <w:szCs w:val="24"/>
        </w:rPr>
        <w:t>-</w:t>
      </w:r>
      <w:r w:rsidRPr="00F4321B">
        <w:rPr>
          <w:rFonts w:ascii="Times New Roman" w:hAnsi="Times New Roman"/>
          <w:color w:val="000000" w:themeColor="text1"/>
          <w:sz w:val="24"/>
        </w:rPr>
        <w:t xml:space="preserve">through basis. </w:t>
      </w:r>
      <w:r w:rsidRPr="00F4321B">
        <w:rPr>
          <w:rFonts w:ascii="Times New Roman" w:hAnsi="Times New Roman"/>
          <w:color w:val="000000" w:themeColor="text1"/>
          <w:sz w:val="24"/>
          <w:szCs w:val="24"/>
        </w:rPr>
        <w:t>For the purposes of these instructions, ‘</w:t>
      </w:r>
      <w:r w:rsidRPr="00F4321B">
        <w:rPr>
          <w:rFonts w:ascii="Times New Roman" w:hAnsi="Times New Roman"/>
          <w:color w:val="000000" w:themeColor="text1"/>
          <w:sz w:val="24"/>
        </w:rPr>
        <w:t>look</w:t>
      </w:r>
      <w:r w:rsidRPr="00F4321B">
        <w:rPr>
          <w:rFonts w:ascii="Times New Roman" w:hAnsi="Times New Roman"/>
          <w:color w:val="000000" w:themeColor="text1"/>
          <w:sz w:val="24"/>
          <w:szCs w:val="24"/>
        </w:rPr>
        <w:t>-</w:t>
      </w:r>
      <w:r w:rsidRPr="00F4321B">
        <w:rPr>
          <w:rFonts w:ascii="Times New Roman" w:hAnsi="Times New Roman"/>
          <w:color w:val="000000" w:themeColor="text1"/>
          <w:sz w:val="24"/>
        </w:rPr>
        <w:t xml:space="preserve">through </w:t>
      </w:r>
      <w:r w:rsidRPr="00F4321B">
        <w:rPr>
          <w:rFonts w:ascii="Times New Roman" w:hAnsi="Times New Roman"/>
          <w:color w:val="000000" w:themeColor="text1"/>
          <w:sz w:val="24"/>
          <w:szCs w:val="24"/>
        </w:rPr>
        <w:t>basis’ means</w:t>
      </w:r>
      <w:r w:rsidRPr="00F4321B">
        <w:rPr>
          <w:rFonts w:ascii="Times New Roman" w:hAnsi="Times New Roman"/>
          <w:color w:val="000000" w:themeColor="text1"/>
          <w:sz w:val="24"/>
        </w:rPr>
        <w:t xml:space="preserve"> </w:t>
      </w:r>
      <w:r w:rsidR="005358E1">
        <w:rPr>
          <w:rFonts w:ascii="Times New Roman" w:hAnsi="Times New Roman"/>
          <w:color w:val="000000" w:themeColor="text1"/>
          <w:sz w:val="24"/>
        </w:rPr>
        <w:t xml:space="preserve">the reporting of </w:t>
      </w:r>
      <w:r w:rsidRPr="00F4321B">
        <w:rPr>
          <w:rFonts w:ascii="Times New Roman" w:hAnsi="Times New Roman"/>
          <w:color w:val="000000" w:themeColor="text1"/>
          <w:sz w:val="24"/>
        </w:rPr>
        <w:t xml:space="preserve">information about the underlying </w:t>
      </w:r>
      <w:r w:rsidRPr="00F4321B">
        <w:rPr>
          <w:rFonts w:ascii="Times New Roman" w:hAnsi="Times New Roman"/>
          <w:color w:val="000000" w:themeColor="text1"/>
          <w:sz w:val="24"/>
          <w:szCs w:val="24"/>
        </w:rPr>
        <w:t>investment</w:t>
      </w:r>
      <w:r w:rsidRPr="00F4321B">
        <w:rPr>
          <w:rFonts w:ascii="Times New Roman" w:hAnsi="Times New Roman"/>
          <w:color w:val="000000" w:themeColor="text1"/>
          <w:sz w:val="24"/>
        </w:rPr>
        <w:t xml:space="preserve"> in an investment vehicle.</w:t>
      </w:r>
      <w:r w:rsidRPr="00F4321B">
        <w:rPr>
          <w:rFonts w:ascii="Times New Roman" w:hAnsi="Times New Roman"/>
          <w:color w:val="000000" w:themeColor="text1"/>
          <w:sz w:val="24"/>
          <w:szCs w:val="24"/>
        </w:rPr>
        <w:t xml:space="preserve">  This is for the purposes of identifying the ultimate asset allocation in which the investment is held</w:t>
      </w:r>
      <w:r w:rsidR="005358E1">
        <w:rPr>
          <w:rFonts w:ascii="Times New Roman" w:hAnsi="Times New Roman"/>
          <w:color w:val="000000" w:themeColor="text1"/>
          <w:sz w:val="24"/>
          <w:szCs w:val="24"/>
        </w:rPr>
        <w:t xml:space="preserve"> and </w:t>
      </w:r>
      <w:r w:rsidR="005358E1" w:rsidRPr="00F4321B">
        <w:rPr>
          <w:rFonts w:ascii="Times New Roman" w:hAnsi="Times New Roman"/>
          <w:color w:val="000000" w:themeColor="text1"/>
          <w:sz w:val="24"/>
          <w:szCs w:val="24"/>
        </w:rPr>
        <w:t>involves looking through cascading entities to the first non-connected entity</w:t>
      </w:r>
      <w:r w:rsidRPr="00F4321B">
        <w:rPr>
          <w:rFonts w:ascii="Times New Roman" w:hAnsi="Times New Roman"/>
          <w:color w:val="000000" w:themeColor="text1"/>
          <w:sz w:val="24"/>
          <w:szCs w:val="24"/>
        </w:rPr>
        <w:t>.</w:t>
      </w:r>
      <w:r w:rsidRPr="00F4321B">
        <w:rPr>
          <w:rFonts w:ascii="Times New Roman" w:hAnsi="Times New Roman"/>
          <w:color w:val="000000" w:themeColor="text1"/>
          <w:sz w:val="24"/>
        </w:rPr>
        <w:t xml:space="preserve"> </w:t>
      </w:r>
    </w:p>
    <w:p w:rsidR="00205B33" w:rsidRDefault="00205B33" w:rsidP="00205B33">
      <w:pPr>
        <w:spacing w:after="240"/>
        <w:jc w:val="both"/>
        <w:rPr>
          <w:rFonts w:ascii="Times New Roman" w:hAnsi="Times New Roman"/>
          <w:sz w:val="24"/>
          <w:szCs w:val="24"/>
        </w:rPr>
      </w:pPr>
      <w:r>
        <w:rPr>
          <w:rFonts w:ascii="Times New Roman" w:hAnsi="Times New Roman"/>
          <w:sz w:val="24"/>
          <w:szCs w:val="24"/>
        </w:rPr>
        <w:lastRenderedPageBreak/>
        <w:t>These instructions specify the reporting basis</w:t>
      </w:r>
      <w:r w:rsidR="00172777">
        <w:rPr>
          <w:rFonts w:ascii="Times New Roman" w:hAnsi="Times New Roman"/>
          <w:sz w:val="24"/>
          <w:szCs w:val="24"/>
        </w:rPr>
        <w:t>,</w:t>
      </w:r>
      <w:r>
        <w:rPr>
          <w:rFonts w:ascii="Times New Roman" w:hAnsi="Times New Roman"/>
          <w:sz w:val="24"/>
          <w:szCs w:val="24"/>
        </w:rPr>
        <w:t xml:space="preserve"> </w:t>
      </w:r>
      <w:r w:rsidR="00325ED8">
        <w:rPr>
          <w:rFonts w:ascii="Times New Roman" w:hAnsi="Times New Roman"/>
          <w:sz w:val="24"/>
          <w:szCs w:val="24"/>
        </w:rPr>
        <w:t>unit of measurement</w:t>
      </w:r>
      <w:r>
        <w:rPr>
          <w:rFonts w:ascii="Times New Roman" w:hAnsi="Times New Roman"/>
          <w:sz w:val="24"/>
          <w:szCs w:val="24"/>
        </w:rPr>
        <w:t xml:space="preserve"> </w:t>
      </w:r>
      <w:r w:rsidR="00172777">
        <w:rPr>
          <w:rFonts w:ascii="Times New Roman" w:hAnsi="Times New Roman"/>
          <w:sz w:val="24"/>
          <w:szCs w:val="24"/>
        </w:rPr>
        <w:t xml:space="preserve">and look through basis </w:t>
      </w:r>
      <w:r>
        <w:rPr>
          <w:rFonts w:ascii="Times New Roman" w:hAnsi="Times New Roman"/>
          <w:sz w:val="24"/>
          <w:szCs w:val="24"/>
        </w:rPr>
        <w:t xml:space="preserve">that applies to each item. </w:t>
      </w:r>
    </w:p>
    <w:p w:rsidR="00325ED8" w:rsidRDefault="00325ED8" w:rsidP="00A933BB">
      <w:pPr>
        <w:keepNext/>
        <w:widowControl w:val="0"/>
        <w:spacing w:after="240"/>
        <w:jc w:val="both"/>
        <w:rPr>
          <w:rFonts w:ascii="Arial" w:hAnsi="Arial" w:cs="Arial"/>
          <w:b/>
          <w:sz w:val="32"/>
          <w:szCs w:val="32"/>
        </w:rPr>
      </w:pPr>
      <w:r>
        <w:rPr>
          <w:rFonts w:ascii="Arial" w:hAnsi="Arial" w:cs="Arial"/>
          <w:b/>
          <w:sz w:val="32"/>
          <w:szCs w:val="32"/>
        </w:rPr>
        <w:t>Specific instructions</w:t>
      </w:r>
    </w:p>
    <w:p w:rsidR="00325ED8" w:rsidRDefault="00325ED8" w:rsidP="00A933BB">
      <w:pPr>
        <w:keepNext/>
        <w:spacing w:before="240" w:after="240"/>
        <w:jc w:val="both"/>
        <w:rPr>
          <w:rFonts w:ascii="Times New Roman" w:hAnsi="Times New Roman"/>
          <w:color w:val="000000"/>
          <w:sz w:val="24"/>
          <w:szCs w:val="24"/>
        </w:rPr>
      </w:pPr>
      <w:r w:rsidRPr="006369FA">
        <w:rPr>
          <w:rFonts w:ascii="Times New Roman" w:hAnsi="Times New Roman"/>
          <w:color w:val="000000"/>
          <w:sz w:val="24"/>
          <w:szCs w:val="24"/>
        </w:rPr>
        <w:t xml:space="preserve">Terms highlighted in </w:t>
      </w:r>
      <w:r w:rsidRPr="006369FA">
        <w:rPr>
          <w:rFonts w:ascii="Times New Roman" w:hAnsi="Times New Roman"/>
          <w:b/>
          <w:i/>
          <w:color w:val="000000"/>
          <w:sz w:val="24"/>
          <w:szCs w:val="24"/>
        </w:rPr>
        <w:t>bold italics</w:t>
      </w:r>
      <w:r w:rsidRPr="006369FA">
        <w:rPr>
          <w:rFonts w:ascii="Times New Roman" w:hAnsi="Times New Roman"/>
          <w:color w:val="000000"/>
          <w:sz w:val="24"/>
          <w:szCs w:val="24"/>
        </w:rPr>
        <w:t xml:space="preserve"> indicate that the definition is provided in these instructions. </w:t>
      </w:r>
      <w:r>
        <w:rPr>
          <w:rFonts w:ascii="Times New Roman" w:hAnsi="Times New Roman"/>
          <w:color w:val="000000"/>
          <w:sz w:val="24"/>
          <w:szCs w:val="24"/>
        </w:rPr>
        <w:t>Additional definitions are provided at the end of these instructions.</w:t>
      </w:r>
    </w:p>
    <w:p w:rsidR="00D6141B" w:rsidRPr="00FF59B0" w:rsidRDefault="00D6141B" w:rsidP="00EE76C0">
      <w:pPr>
        <w:widowControl w:val="0"/>
        <w:spacing w:before="120" w:after="240"/>
        <w:jc w:val="both"/>
        <w:rPr>
          <w:rFonts w:ascii="Arial" w:hAnsi="Arial" w:cs="Arial"/>
          <w:b/>
          <w:color w:val="000000"/>
          <w:sz w:val="24"/>
          <w:szCs w:val="24"/>
        </w:rPr>
      </w:pPr>
      <w:r w:rsidRPr="00FF59B0">
        <w:rPr>
          <w:rFonts w:ascii="Arial" w:hAnsi="Arial" w:cs="Arial"/>
          <w:b/>
          <w:color w:val="000000"/>
          <w:sz w:val="24"/>
          <w:szCs w:val="24"/>
        </w:rPr>
        <w:t>Strategic asset allocation</w:t>
      </w:r>
    </w:p>
    <w:p w:rsidR="00763254" w:rsidRDefault="00537C08" w:rsidP="00EE76C0">
      <w:pPr>
        <w:widowControl w:val="0"/>
        <w:spacing w:after="240"/>
        <w:jc w:val="both"/>
        <w:rPr>
          <w:rFonts w:ascii="Times New Roman" w:hAnsi="Times New Roman"/>
          <w:sz w:val="24"/>
          <w:szCs w:val="24"/>
        </w:rPr>
      </w:pPr>
      <w:r w:rsidRPr="00FB09D3">
        <w:rPr>
          <w:rFonts w:ascii="Times New Roman" w:hAnsi="Times New Roman"/>
          <w:sz w:val="24"/>
          <w:szCs w:val="24"/>
        </w:rPr>
        <w:t xml:space="preserve">Item 1 collects </w:t>
      </w:r>
      <w:r>
        <w:rPr>
          <w:rFonts w:ascii="Times New Roman" w:hAnsi="Times New Roman"/>
          <w:sz w:val="24"/>
          <w:szCs w:val="24"/>
        </w:rPr>
        <w:t xml:space="preserve">the strategic asset allocation </w:t>
      </w:r>
      <w:r w:rsidR="00970DFD">
        <w:rPr>
          <w:rFonts w:ascii="Times New Roman" w:hAnsi="Times New Roman"/>
          <w:sz w:val="24"/>
          <w:szCs w:val="24"/>
        </w:rPr>
        <w:t>f</w:t>
      </w:r>
      <w:r>
        <w:rPr>
          <w:rFonts w:ascii="Times New Roman" w:hAnsi="Times New Roman"/>
          <w:sz w:val="24"/>
          <w:szCs w:val="24"/>
        </w:rPr>
        <w:t>or the</w:t>
      </w:r>
      <w:r w:rsidR="00325ED8">
        <w:rPr>
          <w:rFonts w:ascii="Times New Roman" w:hAnsi="Times New Roman"/>
          <w:sz w:val="24"/>
          <w:szCs w:val="24"/>
        </w:rPr>
        <w:t xml:space="preserve"> </w:t>
      </w:r>
      <w:r w:rsidR="00E34DF4">
        <w:rPr>
          <w:rFonts w:ascii="Times New Roman" w:hAnsi="Times New Roman"/>
          <w:sz w:val="24"/>
          <w:szCs w:val="24"/>
        </w:rPr>
        <w:t>s</w:t>
      </w:r>
      <w:r w:rsidR="007C006E">
        <w:rPr>
          <w:rFonts w:ascii="Times New Roman" w:hAnsi="Times New Roman"/>
          <w:sz w:val="24"/>
          <w:szCs w:val="24"/>
        </w:rPr>
        <w:t>elect investment option</w:t>
      </w:r>
      <w:r w:rsidR="00325ED8">
        <w:rPr>
          <w:rFonts w:ascii="Times New Roman" w:hAnsi="Times New Roman"/>
          <w:sz w:val="24"/>
          <w:szCs w:val="24"/>
        </w:rPr>
        <w:t xml:space="preserve"> </w:t>
      </w:r>
      <w:r>
        <w:rPr>
          <w:rFonts w:ascii="Times New Roman" w:hAnsi="Times New Roman"/>
          <w:sz w:val="24"/>
          <w:szCs w:val="24"/>
        </w:rPr>
        <w:t xml:space="preserve">by asset class. </w:t>
      </w:r>
    </w:p>
    <w:p w:rsidR="002C50E6" w:rsidRPr="002C50E6" w:rsidRDefault="002C50E6" w:rsidP="000C3435">
      <w:pPr>
        <w:spacing w:before="240" w:after="240"/>
        <w:jc w:val="both"/>
        <w:rPr>
          <w:rFonts w:ascii="Times New Roman" w:hAnsi="Times New Roman"/>
          <w:color w:val="000000"/>
          <w:sz w:val="24"/>
          <w:szCs w:val="24"/>
        </w:rPr>
      </w:pPr>
      <w:r w:rsidRPr="002C50E6">
        <w:rPr>
          <w:rFonts w:ascii="Times New Roman" w:hAnsi="Times New Roman"/>
          <w:b/>
          <w:color w:val="000000"/>
          <w:sz w:val="24"/>
          <w:szCs w:val="24"/>
        </w:rPr>
        <w:t>Reporting basis</w:t>
      </w:r>
      <w:r>
        <w:rPr>
          <w:rFonts w:ascii="Times New Roman" w:hAnsi="Times New Roman"/>
          <w:color w:val="000000"/>
          <w:sz w:val="24"/>
          <w:szCs w:val="24"/>
        </w:rPr>
        <w:t>: report item 1 as at the end of the reporting period.</w:t>
      </w:r>
    </w:p>
    <w:p w:rsidR="00537C08" w:rsidRDefault="00325ED8" w:rsidP="000C3435">
      <w:pPr>
        <w:spacing w:before="240" w:after="240"/>
        <w:jc w:val="both"/>
        <w:rPr>
          <w:rFonts w:ascii="Times New Roman" w:hAnsi="Times New Roman"/>
          <w:sz w:val="24"/>
          <w:szCs w:val="24"/>
        </w:rPr>
      </w:pPr>
      <w:r>
        <w:rPr>
          <w:rFonts w:ascii="Times New Roman" w:hAnsi="Times New Roman"/>
          <w:b/>
          <w:color w:val="000000"/>
          <w:sz w:val="24"/>
          <w:szCs w:val="24"/>
        </w:rPr>
        <w:t>Unit of measurement</w:t>
      </w:r>
      <w:r w:rsidR="00763254">
        <w:rPr>
          <w:rFonts w:ascii="Times New Roman" w:hAnsi="Times New Roman"/>
          <w:color w:val="000000"/>
          <w:sz w:val="24"/>
          <w:szCs w:val="24"/>
        </w:rPr>
        <w:t>: report column 4 to column 7 inclusive as a percentage.</w:t>
      </w:r>
      <w:r w:rsidR="00763254" w:rsidRPr="00FB09D3">
        <w:rPr>
          <w:rFonts w:ascii="Times New Roman" w:hAnsi="Times New Roman"/>
          <w:sz w:val="24"/>
          <w:szCs w:val="24"/>
        </w:rPr>
        <w:t xml:space="preserve"> </w:t>
      </w:r>
    </w:p>
    <w:p w:rsidR="00172777" w:rsidRPr="00FB09D3" w:rsidRDefault="00172777" w:rsidP="000C3435">
      <w:pPr>
        <w:spacing w:before="240" w:after="240"/>
        <w:jc w:val="both"/>
        <w:rPr>
          <w:rFonts w:ascii="Times New Roman" w:hAnsi="Times New Roman"/>
          <w:sz w:val="24"/>
          <w:szCs w:val="24"/>
        </w:rPr>
      </w:pPr>
      <w:r w:rsidRPr="00172777">
        <w:rPr>
          <w:rFonts w:ascii="Times New Roman" w:hAnsi="Times New Roman"/>
          <w:b/>
          <w:sz w:val="24"/>
          <w:szCs w:val="24"/>
        </w:rPr>
        <w:t>Look through basis</w:t>
      </w:r>
      <w:r>
        <w:rPr>
          <w:rFonts w:ascii="Times New Roman" w:hAnsi="Times New Roman"/>
          <w:sz w:val="24"/>
          <w:szCs w:val="24"/>
        </w:rPr>
        <w:t>: report item 1 on a look through basis, reporting the strategic asset allocation regardless of how investments are made.</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0"/>
      </w:tblGrid>
      <w:tr w:rsidR="00890B3B" w:rsidRPr="00CF07C1" w:rsidTr="003A0B11">
        <w:tc>
          <w:tcPr>
            <w:tcW w:w="1701" w:type="dxa"/>
          </w:tcPr>
          <w:p w:rsidR="00890B3B" w:rsidRPr="00CF07C1" w:rsidRDefault="00890B3B" w:rsidP="003A0B11">
            <w:pPr>
              <w:spacing w:before="120" w:after="120"/>
              <w:rPr>
                <w:rFonts w:ascii="Times New Roman" w:hAnsi="Times New Roman"/>
                <w:b/>
                <w:sz w:val="24"/>
                <w:szCs w:val="24"/>
              </w:rPr>
            </w:pPr>
            <w:r w:rsidRPr="00CF07C1">
              <w:rPr>
                <w:rFonts w:ascii="Times New Roman" w:hAnsi="Times New Roman"/>
                <w:b/>
                <w:sz w:val="24"/>
                <w:szCs w:val="24"/>
              </w:rPr>
              <w:t>Item 1</w:t>
            </w:r>
          </w:p>
        </w:tc>
        <w:tc>
          <w:tcPr>
            <w:tcW w:w="7370" w:type="dxa"/>
          </w:tcPr>
          <w:p w:rsidR="0081430D" w:rsidRPr="00F4321B" w:rsidRDefault="00205B33" w:rsidP="00205B33">
            <w:pPr>
              <w:spacing w:before="120" w:after="120"/>
              <w:jc w:val="both"/>
              <w:rPr>
                <w:rFonts w:ascii="Times New Roman" w:hAnsi="Times New Roman"/>
                <w:color w:val="000000"/>
                <w:sz w:val="24"/>
              </w:rPr>
            </w:pPr>
            <w:r w:rsidRPr="0022270B">
              <w:rPr>
                <w:rFonts w:ascii="Times New Roman" w:hAnsi="Times New Roman"/>
                <w:sz w:val="24"/>
                <w:szCs w:val="24"/>
              </w:rPr>
              <w:t xml:space="preserve">Report, for each combination of </w:t>
            </w:r>
            <w:r>
              <w:rPr>
                <w:rFonts w:ascii="Times New Roman" w:hAnsi="Times New Roman"/>
                <w:sz w:val="24"/>
                <w:szCs w:val="24"/>
              </w:rPr>
              <w:t xml:space="preserve">asset class type, </w:t>
            </w:r>
            <w:r w:rsidR="00372355">
              <w:rPr>
                <w:rFonts w:ascii="Times New Roman" w:hAnsi="Times New Roman"/>
                <w:sz w:val="24"/>
                <w:szCs w:val="24"/>
              </w:rPr>
              <w:t xml:space="preserve">asset </w:t>
            </w:r>
            <w:r w:rsidRPr="00BB321F">
              <w:rPr>
                <w:rFonts w:ascii="Times New Roman" w:hAnsi="Times New Roman"/>
                <w:sz w:val="24"/>
                <w:szCs w:val="24"/>
              </w:rPr>
              <w:t>domicile</w:t>
            </w:r>
            <w:r w:rsidRPr="0022270B">
              <w:rPr>
                <w:rFonts w:ascii="Times New Roman" w:hAnsi="Times New Roman"/>
                <w:sz w:val="24"/>
                <w:szCs w:val="24"/>
              </w:rPr>
              <w:t xml:space="preserve"> </w:t>
            </w:r>
            <w:r>
              <w:rPr>
                <w:rFonts w:ascii="Times New Roman" w:hAnsi="Times New Roman"/>
                <w:sz w:val="24"/>
                <w:szCs w:val="24"/>
              </w:rPr>
              <w:t>type and</w:t>
            </w:r>
            <w:r w:rsidRPr="0022270B">
              <w:rPr>
                <w:rFonts w:ascii="Times New Roman" w:hAnsi="Times New Roman"/>
                <w:sz w:val="24"/>
                <w:szCs w:val="24"/>
              </w:rPr>
              <w:t xml:space="preserve"> </w:t>
            </w:r>
            <w:r w:rsidR="00372355">
              <w:rPr>
                <w:rFonts w:ascii="Times New Roman" w:hAnsi="Times New Roman"/>
                <w:sz w:val="24"/>
                <w:szCs w:val="24"/>
              </w:rPr>
              <w:t xml:space="preserve">asset </w:t>
            </w:r>
            <w:r>
              <w:rPr>
                <w:rFonts w:ascii="Times New Roman" w:hAnsi="Times New Roman"/>
                <w:sz w:val="24"/>
                <w:szCs w:val="24"/>
              </w:rPr>
              <w:t xml:space="preserve">listing type: </w:t>
            </w:r>
            <w:r w:rsidRPr="0022270B">
              <w:rPr>
                <w:rFonts w:ascii="Times New Roman" w:hAnsi="Times New Roman"/>
                <w:sz w:val="24"/>
                <w:szCs w:val="24"/>
              </w:rPr>
              <w:t xml:space="preserve">the </w:t>
            </w:r>
            <w:r>
              <w:rPr>
                <w:rFonts w:ascii="Times New Roman" w:hAnsi="Times New Roman"/>
                <w:sz w:val="24"/>
                <w:szCs w:val="24"/>
              </w:rPr>
              <w:t xml:space="preserve">asset class type in column 1, </w:t>
            </w:r>
            <w:r w:rsidRPr="0022270B">
              <w:rPr>
                <w:rFonts w:ascii="Times New Roman" w:hAnsi="Times New Roman"/>
                <w:sz w:val="24"/>
                <w:szCs w:val="24"/>
              </w:rPr>
              <w:t xml:space="preserve">the </w:t>
            </w:r>
            <w:r w:rsidR="00172777">
              <w:rPr>
                <w:rFonts w:ascii="Times New Roman" w:hAnsi="Times New Roman"/>
                <w:sz w:val="24"/>
                <w:szCs w:val="24"/>
              </w:rPr>
              <w:t xml:space="preserve">asset </w:t>
            </w:r>
            <w:r w:rsidRPr="00BB321F">
              <w:rPr>
                <w:rFonts w:ascii="Times New Roman" w:hAnsi="Times New Roman"/>
                <w:sz w:val="24"/>
                <w:szCs w:val="24"/>
              </w:rPr>
              <w:t>domicile</w:t>
            </w:r>
            <w:r w:rsidRPr="0022270B">
              <w:rPr>
                <w:rFonts w:ascii="Times New Roman" w:hAnsi="Times New Roman"/>
                <w:sz w:val="24"/>
                <w:szCs w:val="24"/>
              </w:rPr>
              <w:t xml:space="preserve"> </w:t>
            </w:r>
            <w:r>
              <w:rPr>
                <w:rFonts w:ascii="Times New Roman" w:hAnsi="Times New Roman"/>
                <w:sz w:val="24"/>
                <w:szCs w:val="24"/>
              </w:rPr>
              <w:t xml:space="preserve">type </w:t>
            </w:r>
            <w:r w:rsidRPr="0022270B">
              <w:rPr>
                <w:rFonts w:ascii="Times New Roman" w:hAnsi="Times New Roman"/>
                <w:sz w:val="24"/>
                <w:szCs w:val="24"/>
              </w:rPr>
              <w:t>in column 2</w:t>
            </w:r>
            <w:r>
              <w:rPr>
                <w:rFonts w:ascii="Times New Roman" w:hAnsi="Times New Roman"/>
                <w:sz w:val="24"/>
                <w:szCs w:val="24"/>
              </w:rPr>
              <w:t xml:space="preserve">, the </w:t>
            </w:r>
            <w:r w:rsidR="00172777">
              <w:rPr>
                <w:rFonts w:ascii="Times New Roman" w:hAnsi="Times New Roman"/>
                <w:sz w:val="24"/>
                <w:szCs w:val="24"/>
              </w:rPr>
              <w:t xml:space="preserve">asset </w:t>
            </w:r>
            <w:r>
              <w:rPr>
                <w:rFonts w:ascii="Times New Roman" w:hAnsi="Times New Roman"/>
                <w:sz w:val="24"/>
                <w:szCs w:val="24"/>
              </w:rPr>
              <w:t>listing type of the investment in column 3, the</w:t>
            </w:r>
            <w:r w:rsidRPr="00CF07C1">
              <w:rPr>
                <w:rFonts w:ascii="Times New Roman" w:hAnsi="Times New Roman"/>
                <w:sz w:val="24"/>
                <w:szCs w:val="24"/>
              </w:rPr>
              <w:t xml:space="preserve"> </w:t>
            </w:r>
            <w:r>
              <w:rPr>
                <w:rFonts w:ascii="Times New Roman" w:hAnsi="Times New Roman"/>
                <w:b/>
                <w:i/>
                <w:sz w:val="24"/>
                <w:szCs w:val="24"/>
              </w:rPr>
              <w:t>benchmark asset allocation</w:t>
            </w:r>
            <w:r>
              <w:rPr>
                <w:rFonts w:ascii="Times New Roman" w:hAnsi="Times New Roman"/>
                <w:sz w:val="24"/>
                <w:szCs w:val="24"/>
              </w:rPr>
              <w:t xml:space="preserve"> in column 4, the </w:t>
            </w:r>
            <w:r w:rsidRPr="00050E15">
              <w:rPr>
                <w:rFonts w:ascii="Times New Roman" w:hAnsi="Times New Roman"/>
                <w:b/>
                <w:i/>
                <w:sz w:val="24"/>
                <w:szCs w:val="24"/>
              </w:rPr>
              <w:t>lower end of the allowable asset allocation range</w:t>
            </w:r>
            <w:r>
              <w:rPr>
                <w:rFonts w:ascii="Times New Roman" w:hAnsi="Times New Roman"/>
                <w:sz w:val="24"/>
                <w:szCs w:val="24"/>
              </w:rPr>
              <w:t xml:space="preserve"> in column 5, the </w:t>
            </w:r>
            <w:r w:rsidRPr="00050E15">
              <w:rPr>
                <w:rFonts w:ascii="Times New Roman" w:hAnsi="Times New Roman"/>
                <w:b/>
                <w:i/>
                <w:sz w:val="24"/>
                <w:szCs w:val="24"/>
              </w:rPr>
              <w:t>upper end of asset allocation range</w:t>
            </w:r>
            <w:r>
              <w:rPr>
                <w:rFonts w:ascii="Times New Roman" w:hAnsi="Times New Roman"/>
                <w:sz w:val="24"/>
                <w:szCs w:val="24"/>
              </w:rPr>
              <w:t xml:space="preserve"> in column 6 and the </w:t>
            </w:r>
            <w:r w:rsidR="00747C50">
              <w:rPr>
                <w:rFonts w:ascii="Times New Roman" w:hAnsi="Times New Roman"/>
                <w:b/>
                <w:i/>
                <w:sz w:val="24"/>
                <w:szCs w:val="24"/>
              </w:rPr>
              <w:t>currency</w:t>
            </w:r>
            <w:r w:rsidR="00747C50" w:rsidRPr="00050E15">
              <w:rPr>
                <w:rFonts w:ascii="Times New Roman" w:hAnsi="Times New Roman"/>
                <w:b/>
                <w:i/>
                <w:sz w:val="24"/>
                <w:szCs w:val="24"/>
              </w:rPr>
              <w:t xml:space="preserve"> </w:t>
            </w:r>
            <w:r w:rsidRPr="00050E15">
              <w:rPr>
                <w:rFonts w:ascii="Times New Roman" w:hAnsi="Times New Roman"/>
                <w:b/>
                <w:i/>
                <w:sz w:val="24"/>
                <w:szCs w:val="24"/>
              </w:rPr>
              <w:t>hedging ratio</w:t>
            </w:r>
            <w:r>
              <w:rPr>
                <w:rFonts w:ascii="Times New Roman" w:hAnsi="Times New Roman"/>
                <w:sz w:val="24"/>
                <w:szCs w:val="24"/>
              </w:rPr>
              <w:t xml:space="preserve"> in column 7</w:t>
            </w:r>
            <w:r w:rsidRPr="0022270B">
              <w:rPr>
                <w:rFonts w:ascii="Times New Roman" w:hAnsi="Times New Roman"/>
                <w:sz w:val="24"/>
                <w:szCs w:val="24"/>
              </w:rPr>
              <w:t>.</w:t>
            </w:r>
            <w:r>
              <w:rPr>
                <w:rFonts w:ascii="Times New Roman" w:hAnsi="Times New Roman"/>
                <w:sz w:val="24"/>
                <w:szCs w:val="24"/>
              </w:rPr>
              <w:t xml:space="preserve"> </w:t>
            </w:r>
            <w:r w:rsidR="00207344">
              <w:rPr>
                <w:rFonts w:ascii="Times New Roman" w:hAnsi="Times New Roman"/>
                <w:sz w:val="24"/>
                <w:szCs w:val="24"/>
              </w:rPr>
              <w:t xml:space="preserve">Where the investment option does not have asset allocation ranges, and thus no lower or upper end, leave column 5 and column 6 blank. </w:t>
            </w:r>
            <w:r w:rsidR="00476587">
              <w:rPr>
                <w:rFonts w:ascii="Times New Roman" w:hAnsi="Times New Roman"/>
                <w:sz w:val="24"/>
                <w:szCs w:val="24"/>
              </w:rPr>
              <w:t xml:space="preserve">Where asset domicile type ‘international’ is reported in column 2, report the </w:t>
            </w:r>
            <w:r w:rsidR="00A55BF6">
              <w:rPr>
                <w:rFonts w:ascii="Times New Roman" w:hAnsi="Times New Roman"/>
                <w:b/>
                <w:i/>
                <w:sz w:val="24"/>
                <w:szCs w:val="24"/>
              </w:rPr>
              <w:t>currency</w:t>
            </w:r>
            <w:r w:rsidR="00A55BF6" w:rsidRPr="00050E15">
              <w:rPr>
                <w:rFonts w:ascii="Times New Roman" w:hAnsi="Times New Roman"/>
                <w:b/>
                <w:i/>
                <w:sz w:val="24"/>
                <w:szCs w:val="24"/>
              </w:rPr>
              <w:t xml:space="preserve"> </w:t>
            </w:r>
            <w:r w:rsidR="00476587" w:rsidRPr="00050E15">
              <w:rPr>
                <w:rFonts w:ascii="Times New Roman" w:hAnsi="Times New Roman"/>
                <w:b/>
                <w:i/>
                <w:sz w:val="24"/>
                <w:szCs w:val="24"/>
              </w:rPr>
              <w:t>hedging ratio</w:t>
            </w:r>
            <w:r w:rsidR="00476587">
              <w:rPr>
                <w:rFonts w:ascii="Times New Roman" w:hAnsi="Times New Roman"/>
                <w:sz w:val="24"/>
                <w:szCs w:val="24"/>
              </w:rPr>
              <w:t xml:space="preserve"> in column 7; otherwise, leave column 7 blank</w:t>
            </w:r>
            <w:r w:rsidR="00476587" w:rsidRPr="0022270B">
              <w:rPr>
                <w:rFonts w:ascii="Times New Roman" w:hAnsi="Times New Roman"/>
                <w:sz w:val="24"/>
                <w:szCs w:val="24"/>
              </w:rPr>
              <w:t>.</w:t>
            </w:r>
          </w:p>
          <w:p w:rsidR="00205B33" w:rsidRDefault="00205B33" w:rsidP="00205B33">
            <w:pPr>
              <w:spacing w:before="120" w:after="120"/>
              <w:jc w:val="both"/>
              <w:rPr>
                <w:rFonts w:ascii="Times New Roman" w:hAnsi="Times New Roman"/>
                <w:sz w:val="24"/>
                <w:szCs w:val="24"/>
              </w:rPr>
            </w:pPr>
            <w:r w:rsidRPr="0022270B">
              <w:rPr>
                <w:rFonts w:ascii="Times New Roman" w:hAnsi="Times New Roman"/>
                <w:sz w:val="24"/>
                <w:szCs w:val="24"/>
              </w:rPr>
              <w:t xml:space="preserve">The </w:t>
            </w:r>
            <w:r>
              <w:rPr>
                <w:rFonts w:ascii="Times New Roman" w:hAnsi="Times New Roman"/>
                <w:sz w:val="24"/>
                <w:szCs w:val="24"/>
              </w:rPr>
              <w:t>asset class types</w:t>
            </w:r>
            <w:r w:rsidRPr="0022270B">
              <w:rPr>
                <w:rFonts w:ascii="Times New Roman" w:hAnsi="Times New Roman"/>
                <w:sz w:val="24"/>
                <w:szCs w:val="24"/>
              </w:rPr>
              <w:t xml:space="preserve"> are: </w:t>
            </w:r>
            <w:r w:rsidRPr="0022270B">
              <w:rPr>
                <w:rFonts w:ascii="Times New Roman" w:hAnsi="Times New Roman"/>
                <w:b/>
                <w:i/>
                <w:sz w:val="24"/>
                <w:szCs w:val="24"/>
              </w:rPr>
              <w:t>cash</w:t>
            </w:r>
            <w:r>
              <w:rPr>
                <w:rFonts w:ascii="Times New Roman" w:hAnsi="Times New Roman"/>
                <w:sz w:val="24"/>
                <w:szCs w:val="24"/>
              </w:rPr>
              <w:t xml:space="preserve">, </w:t>
            </w:r>
            <w:r w:rsidRPr="0022270B">
              <w:rPr>
                <w:rFonts w:ascii="Times New Roman" w:hAnsi="Times New Roman"/>
                <w:b/>
                <w:i/>
                <w:sz w:val="24"/>
                <w:szCs w:val="24"/>
              </w:rPr>
              <w:t>fixed</w:t>
            </w:r>
            <w:r>
              <w:rPr>
                <w:rFonts w:ascii="Times New Roman" w:hAnsi="Times New Roman"/>
                <w:sz w:val="24"/>
                <w:szCs w:val="24"/>
              </w:rPr>
              <w:t xml:space="preserve"> </w:t>
            </w:r>
            <w:r>
              <w:rPr>
                <w:rFonts w:ascii="Times New Roman" w:hAnsi="Times New Roman"/>
                <w:b/>
                <w:i/>
                <w:sz w:val="24"/>
                <w:szCs w:val="24"/>
              </w:rPr>
              <w:t>income</w:t>
            </w:r>
            <w:r>
              <w:rPr>
                <w:rFonts w:ascii="Times New Roman" w:hAnsi="Times New Roman"/>
                <w:sz w:val="24"/>
                <w:szCs w:val="24"/>
              </w:rPr>
              <w:t xml:space="preserve">, </w:t>
            </w:r>
            <w:r>
              <w:rPr>
                <w:rFonts w:ascii="Times New Roman" w:hAnsi="Times New Roman"/>
                <w:b/>
                <w:i/>
                <w:sz w:val="24"/>
                <w:szCs w:val="24"/>
              </w:rPr>
              <w:t>equity</w:t>
            </w:r>
            <w:r>
              <w:rPr>
                <w:rFonts w:ascii="Times New Roman" w:hAnsi="Times New Roman"/>
                <w:sz w:val="24"/>
                <w:szCs w:val="24"/>
              </w:rPr>
              <w:t xml:space="preserve">, </w:t>
            </w:r>
            <w:r>
              <w:rPr>
                <w:rFonts w:ascii="Times New Roman" w:hAnsi="Times New Roman"/>
                <w:b/>
                <w:i/>
                <w:sz w:val="24"/>
                <w:szCs w:val="24"/>
              </w:rPr>
              <w:t>property</w:t>
            </w:r>
            <w:r>
              <w:rPr>
                <w:rFonts w:ascii="Times New Roman" w:hAnsi="Times New Roman"/>
                <w:sz w:val="24"/>
                <w:szCs w:val="24"/>
              </w:rPr>
              <w:t xml:space="preserve">, </w:t>
            </w:r>
            <w:r>
              <w:rPr>
                <w:rFonts w:ascii="Times New Roman" w:hAnsi="Times New Roman"/>
                <w:b/>
                <w:i/>
                <w:sz w:val="24"/>
                <w:szCs w:val="24"/>
              </w:rPr>
              <w:t>infrastructure</w:t>
            </w:r>
            <w:r>
              <w:rPr>
                <w:rFonts w:ascii="Times New Roman" w:hAnsi="Times New Roman"/>
                <w:sz w:val="24"/>
                <w:szCs w:val="24"/>
              </w:rPr>
              <w:t xml:space="preserve">, </w:t>
            </w:r>
            <w:r>
              <w:rPr>
                <w:rFonts w:ascii="Times New Roman" w:hAnsi="Times New Roman"/>
                <w:b/>
                <w:i/>
                <w:sz w:val="24"/>
                <w:szCs w:val="24"/>
              </w:rPr>
              <w:t>commodities</w:t>
            </w:r>
            <w:r>
              <w:rPr>
                <w:rFonts w:ascii="Times New Roman" w:hAnsi="Times New Roman"/>
                <w:sz w:val="24"/>
                <w:szCs w:val="24"/>
              </w:rPr>
              <w:t xml:space="preserve"> and </w:t>
            </w:r>
            <w:r w:rsidR="00325ED8">
              <w:rPr>
                <w:rFonts w:ascii="Times New Roman" w:hAnsi="Times New Roman"/>
                <w:sz w:val="24"/>
                <w:szCs w:val="24"/>
              </w:rPr>
              <w:t>‘</w:t>
            </w:r>
            <w:r>
              <w:rPr>
                <w:rFonts w:ascii="Times New Roman" w:hAnsi="Times New Roman"/>
                <w:sz w:val="24"/>
                <w:szCs w:val="24"/>
              </w:rPr>
              <w:t>other</w:t>
            </w:r>
            <w:r w:rsidR="00325ED8">
              <w:rPr>
                <w:rFonts w:ascii="Times New Roman" w:hAnsi="Times New Roman"/>
                <w:sz w:val="24"/>
                <w:szCs w:val="24"/>
              </w:rPr>
              <w:t>’</w:t>
            </w:r>
            <w:r>
              <w:rPr>
                <w:rFonts w:ascii="Times New Roman" w:hAnsi="Times New Roman"/>
                <w:sz w:val="24"/>
                <w:szCs w:val="24"/>
              </w:rPr>
              <w:t>.</w:t>
            </w:r>
          </w:p>
          <w:p w:rsidR="00205B33" w:rsidRDefault="00205B33" w:rsidP="00205B33">
            <w:pPr>
              <w:spacing w:before="120" w:after="120"/>
              <w:jc w:val="both"/>
              <w:rPr>
                <w:rFonts w:ascii="Times New Roman" w:hAnsi="Times New Roman"/>
                <w:sz w:val="24"/>
                <w:szCs w:val="24"/>
              </w:rPr>
            </w:pPr>
            <w:r>
              <w:rPr>
                <w:rFonts w:ascii="Times New Roman" w:hAnsi="Times New Roman"/>
                <w:sz w:val="24"/>
                <w:szCs w:val="24"/>
              </w:rPr>
              <w:t xml:space="preserve">The </w:t>
            </w:r>
            <w:r w:rsidR="00372355">
              <w:rPr>
                <w:rFonts w:ascii="Times New Roman" w:hAnsi="Times New Roman"/>
                <w:sz w:val="24"/>
                <w:szCs w:val="24"/>
              </w:rPr>
              <w:t xml:space="preserve">asset </w:t>
            </w:r>
            <w:r>
              <w:rPr>
                <w:rFonts w:ascii="Times New Roman" w:hAnsi="Times New Roman"/>
                <w:sz w:val="24"/>
                <w:szCs w:val="24"/>
              </w:rPr>
              <w:t xml:space="preserve">domicile types are: </w:t>
            </w:r>
            <w:r w:rsidRPr="006C6474">
              <w:rPr>
                <w:rFonts w:ascii="Times New Roman" w:hAnsi="Times New Roman"/>
                <w:b/>
                <w:i/>
                <w:sz w:val="24"/>
                <w:szCs w:val="24"/>
              </w:rPr>
              <w:t>Australia</w:t>
            </w:r>
            <w:r>
              <w:rPr>
                <w:rFonts w:ascii="Times New Roman" w:hAnsi="Times New Roman"/>
                <w:b/>
                <w:i/>
                <w:sz w:val="24"/>
                <w:szCs w:val="24"/>
              </w:rPr>
              <w:t xml:space="preserve"> domicile</w:t>
            </w:r>
            <w:r>
              <w:rPr>
                <w:rFonts w:ascii="Times New Roman" w:hAnsi="Times New Roman"/>
                <w:sz w:val="24"/>
                <w:szCs w:val="24"/>
              </w:rPr>
              <w:t xml:space="preserve">, </w:t>
            </w:r>
            <w:r w:rsidRPr="006C6474">
              <w:rPr>
                <w:rFonts w:ascii="Times New Roman" w:hAnsi="Times New Roman"/>
                <w:b/>
                <w:i/>
                <w:sz w:val="24"/>
                <w:szCs w:val="24"/>
              </w:rPr>
              <w:t>international</w:t>
            </w:r>
            <w:r>
              <w:rPr>
                <w:rFonts w:ascii="Times New Roman" w:hAnsi="Times New Roman"/>
                <w:b/>
                <w:i/>
                <w:sz w:val="24"/>
                <w:szCs w:val="24"/>
              </w:rPr>
              <w:t xml:space="preserve"> domicile</w:t>
            </w:r>
            <w:r>
              <w:rPr>
                <w:rFonts w:ascii="Times New Roman" w:hAnsi="Times New Roman"/>
                <w:sz w:val="24"/>
                <w:szCs w:val="24"/>
              </w:rPr>
              <w:t xml:space="preserve"> and </w:t>
            </w:r>
            <w:r w:rsidR="00325ED8">
              <w:rPr>
                <w:rFonts w:ascii="Times New Roman" w:hAnsi="Times New Roman"/>
                <w:sz w:val="24"/>
                <w:szCs w:val="24"/>
              </w:rPr>
              <w:t>‘not applicable’</w:t>
            </w:r>
            <w:r>
              <w:rPr>
                <w:rFonts w:ascii="Times New Roman" w:hAnsi="Times New Roman"/>
                <w:sz w:val="24"/>
                <w:szCs w:val="24"/>
              </w:rPr>
              <w:t>.</w:t>
            </w:r>
            <w:r w:rsidR="00172777">
              <w:rPr>
                <w:rFonts w:ascii="Times New Roman" w:hAnsi="Times New Roman"/>
                <w:sz w:val="24"/>
                <w:szCs w:val="24"/>
              </w:rPr>
              <w:t xml:space="preserve"> Where the </w:t>
            </w:r>
            <w:r w:rsidR="002A4C53">
              <w:rPr>
                <w:rFonts w:ascii="Times New Roman" w:hAnsi="Times New Roman"/>
                <w:sz w:val="24"/>
                <w:szCs w:val="24"/>
              </w:rPr>
              <w:t xml:space="preserve">asset </w:t>
            </w:r>
            <w:r w:rsidR="00172777">
              <w:rPr>
                <w:rFonts w:ascii="Times New Roman" w:hAnsi="Times New Roman"/>
                <w:sz w:val="24"/>
                <w:szCs w:val="24"/>
              </w:rPr>
              <w:t xml:space="preserve">domicile is not specified when setting the strategic asset allocation, report </w:t>
            </w:r>
            <w:r w:rsidR="00372355">
              <w:rPr>
                <w:rFonts w:ascii="Times New Roman" w:hAnsi="Times New Roman"/>
                <w:sz w:val="24"/>
                <w:szCs w:val="24"/>
              </w:rPr>
              <w:t xml:space="preserve">asset </w:t>
            </w:r>
            <w:r w:rsidR="00172777">
              <w:rPr>
                <w:rFonts w:ascii="Times New Roman" w:hAnsi="Times New Roman"/>
                <w:sz w:val="24"/>
                <w:szCs w:val="24"/>
              </w:rPr>
              <w:t>domicile type as ‘not applicable’.</w:t>
            </w:r>
          </w:p>
          <w:p w:rsidR="00205B33" w:rsidRDefault="00205B33" w:rsidP="00205B33">
            <w:pPr>
              <w:spacing w:before="120" w:after="120"/>
              <w:jc w:val="both"/>
              <w:rPr>
                <w:rFonts w:ascii="Times New Roman" w:hAnsi="Times New Roman"/>
                <w:sz w:val="24"/>
                <w:szCs w:val="24"/>
              </w:rPr>
            </w:pPr>
            <w:r>
              <w:rPr>
                <w:rFonts w:ascii="Times New Roman" w:hAnsi="Times New Roman"/>
                <w:sz w:val="24"/>
                <w:szCs w:val="24"/>
              </w:rPr>
              <w:t xml:space="preserve">The </w:t>
            </w:r>
            <w:r w:rsidR="00372355">
              <w:rPr>
                <w:rFonts w:ascii="Times New Roman" w:hAnsi="Times New Roman"/>
                <w:sz w:val="24"/>
                <w:szCs w:val="24"/>
              </w:rPr>
              <w:t xml:space="preserve">asset </w:t>
            </w:r>
            <w:r>
              <w:rPr>
                <w:rFonts w:ascii="Times New Roman" w:hAnsi="Times New Roman"/>
                <w:sz w:val="24"/>
                <w:szCs w:val="24"/>
              </w:rPr>
              <w:t xml:space="preserve">listing types are: </w:t>
            </w:r>
            <w:r w:rsidRPr="006C6474">
              <w:rPr>
                <w:rFonts w:ascii="Times New Roman" w:hAnsi="Times New Roman"/>
                <w:b/>
                <w:i/>
                <w:sz w:val="24"/>
                <w:szCs w:val="24"/>
              </w:rPr>
              <w:t>listed</w:t>
            </w:r>
            <w:r>
              <w:rPr>
                <w:rFonts w:ascii="Times New Roman" w:hAnsi="Times New Roman"/>
                <w:sz w:val="24"/>
                <w:szCs w:val="24"/>
              </w:rPr>
              <w:t xml:space="preserve">, </w:t>
            </w:r>
            <w:r w:rsidRPr="006C6474">
              <w:rPr>
                <w:rFonts w:ascii="Times New Roman" w:hAnsi="Times New Roman"/>
                <w:b/>
                <w:i/>
                <w:sz w:val="24"/>
                <w:szCs w:val="24"/>
              </w:rPr>
              <w:t>unlisted</w:t>
            </w:r>
            <w:r>
              <w:rPr>
                <w:rFonts w:ascii="Times New Roman" w:hAnsi="Times New Roman"/>
                <w:sz w:val="24"/>
                <w:szCs w:val="24"/>
              </w:rPr>
              <w:t xml:space="preserve"> and </w:t>
            </w:r>
            <w:r w:rsidR="00325ED8">
              <w:rPr>
                <w:rFonts w:ascii="Times New Roman" w:hAnsi="Times New Roman"/>
                <w:sz w:val="24"/>
                <w:szCs w:val="24"/>
              </w:rPr>
              <w:t>‘not applicable’</w:t>
            </w:r>
            <w:r>
              <w:rPr>
                <w:rFonts w:ascii="Times New Roman" w:hAnsi="Times New Roman"/>
                <w:sz w:val="24"/>
                <w:szCs w:val="24"/>
              </w:rPr>
              <w:t>.</w:t>
            </w:r>
            <w:r w:rsidR="00172777">
              <w:rPr>
                <w:rFonts w:ascii="Times New Roman" w:hAnsi="Times New Roman"/>
                <w:sz w:val="24"/>
                <w:szCs w:val="24"/>
              </w:rPr>
              <w:t xml:space="preserve"> Where the listing is not specified when setting the strategic asset allocation, report </w:t>
            </w:r>
            <w:r w:rsidR="00372355">
              <w:rPr>
                <w:rFonts w:ascii="Times New Roman" w:hAnsi="Times New Roman"/>
                <w:sz w:val="24"/>
                <w:szCs w:val="24"/>
              </w:rPr>
              <w:t xml:space="preserve">asset </w:t>
            </w:r>
            <w:r w:rsidR="00172777">
              <w:rPr>
                <w:rFonts w:ascii="Times New Roman" w:hAnsi="Times New Roman"/>
                <w:sz w:val="24"/>
                <w:szCs w:val="24"/>
              </w:rPr>
              <w:t>listing type as ‘not applicable’.</w:t>
            </w:r>
            <w:r w:rsidR="003B7816">
              <w:rPr>
                <w:rFonts w:ascii="Times New Roman" w:hAnsi="Times New Roman"/>
                <w:sz w:val="24"/>
                <w:szCs w:val="24"/>
              </w:rPr>
              <w:t xml:space="preserve"> </w:t>
            </w:r>
            <w:r w:rsidR="003B7816" w:rsidRPr="0051406B">
              <w:rPr>
                <w:rFonts w:ascii="Times New Roman" w:hAnsi="Times New Roman"/>
                <w:sz w:val="24"/>
                <w:szCs w:val="24"/>
              </w:rPr>
              <w:t xml:space="preserve">Report asset listing type as ‘not applicable’ for asset class type </w:t>
            </w:r>
            <w:r w:rsidR="003B7816" w:rsidRPr="0051406B">
              <w:rPr>
                <w:rFonts w:ascii="Times New Roman" w:hAnsi="Times New Roman"/>
                <w:b/>
                <w:i/>
                <w:sz w:val="24"/>
                <w:szCs w:val="24"/>
              </w:rPr>
              <w:t>cash</w:t>
            </w:r>
            <w:r w:rsidR="003B7816" w:rsidRPr="0051406B">
              <w:rPr>
                <w:rFonts w:ascii="Times New Roman" w:hAnsi="Times New Roman"/>
                <w:sz w:val="24"/>
                <w:szCs w:val="24"/>
              </w:rPr>
              <w:t>.</w:t>
            </w:r>
            <w:r w:rsidR="00DB2B19" w:rsidRPr="0051406B">
              <w:rPr>
                <w:rFonts w:ascii="Times New Roman" w:hAnsi="Times New Roman"/>
                <w:sz w:val="24"/>
                <w:szCs w:val="24"/>
              </w:rPr>
              <w:t xml:space="preserve"> Where the asset listing is not known, report asset listing type as ‘not applicable’</w:t>
            </w:r>
            <w:r w:rsidR="00DB2B19">
              <w:rPr>
                <w:rFonts w:ascii="Times New Roman" w:hAnsi="Times New Roman"/>
                <w:sz w:val="24"/>
                <w:szCs w:val="24"/>
              </w:rPr>
              <w:t>.</w:t>
            </w:r>
          </w:p>
          <w:p w:rsidR="00205B33" w:rsidRDefault="00205B33" w:rsidP="00205B33">
            <w:pPr>
              <w:spacing w:before="120" w:after="120"/>
              <w:jc w:val="both"/>
              <w:rPr>
                <w:rFonts w:ascii="Times New Roman" w:hAnsi="Times New Roman"/>
                <w:sz w:val="24"/>
                <w:szCs w:val="24"/>
              </w:rPr>
            </w:pPr>
            <w:r w:rsidRPr="00CF07C1">
              <w:rPr>
                <w:rFonts w:ascii="Times New Roman" w:hAnsi="Times New Roman"/>
                <w:sz w:val="24"/>
                <w:szCs w:val="24"/>
              </w:rPr>
              <w:t xml:space="preserve">An investment is to be reported as </w:t>
            </w:r>
            <w:r>
              <w:rPr>
                <w:rFonts w:ascii="Times New Roman" w:hAnsi="Times New Roman"/>
                <w:sz w:val="24"/>
                <w:szCs w:val="24"/>
              </w:rPr>
              <w:t>asset class type ‘</w:t>
            </w:r>
            <w:r w:rsidRPr="006C6474">
              <w:rPr>
                <w:rFonts w:ascii="Times New Roman" w:hAnsi="Times New Roman"/>
                <w:sz w:val="24"/>
                <w:szCs w:val="24"/>
              </w:rPr>
              <w:t>other</w:t>
            </w:r>
            <w:r>
              <w:rPr>
                <w:rFonts w:ascii="Times New Roman" w:hAnsi="Times New Roman"/>
                <w:sz w:val="24"/>
                <w:szCs w:val="24"/>
              </w:rPr>
              <w:t>’</w:t>
            </w:r>
            <w:r w:rsidRPr="006C6474">
              <w:rPr>
                <w:rFonts w:ascii="Times New Roman" w:hAnsi="Times New Roman"/>
                <w:sz w:val="24"/>
                <w:szCs w:val="24"/>
              </w:rPr>
              <w:t xml:space="preserve"> </w:t>
            </w:r>
            <w:r w:rsidRPr="00CF07C1">
              <w:rPr>
                <w:rFonts w:ascii="Times New Roman" w:hAnsi="Times New Roman"/>
                <w:sz w:val="24"/>
                <w:szCs w:val="24"/>
              </w:rPr>
              <w:t xml:space="preserve">for reasons including, but not limited to, (a) an RSE licensee does not have sufficient information about an investment to classify it into one or more asset classes; or (b) an investment is in a different </w:t>
            </w:r>
            <w:r>
              <w:rPr>
                <w:rFonts w:ascii="Times New Roman" w:hAnsi="Times New Roman"/>
                <w:sz w:val="24"/>
                <w:szCs w:val="24"/>
              </w:rPr>
              <w:t xml:space="preserve">category than the relevant combinations </w:t>
            </w:r>
            <w:r w:rsidRPr="0022270B">
              <w:rPr>
                <w:rFonts w:ascii="Times New Roman" w:hAnsi="Times New Roman"/>
                <w:sz w:val="24"/>
                <w:szCs w:val="24"/>
              </w:rPr>
              <w:t>of</w:t>
            </w:r>
            <w:r>
              <w:rPr>
                <w:rFonts w:ascii="Times New Roman" w:hAnsi="Times New Roman"/>
                <w:sz w:val="24"/>
                <w:szCs w:val="24"/>
              </w:rPr>
              <w:t>:</w:t>
            </w:r>
            <w:r w:rsidRPr="0022270B">
              <w:rPr>
                <w:rFonts w:ascii="Times New Roman" w:hAnsi="Times New Roman"/>
                <w:sz w:val="24"/>
                <w:szCs w:val="24"/>
              </w:rPr>
              <w:t xml:space="preserve"> </w:t>
            </w:r>
            <w:r>
              <w:rPr>
                <w:rFonts w:ascii="Times New Roman" w:hAnsi="Times New Roman"/>
                <w:sz w:val="24"/>
                <w:szCs w:val="24"/>
              </w:rPr>
              <w:t xml:space="preserve">asset class type, </w:t>
            </w:r>
            <w:r w:rsidR="00372355">
              <w:rPr>
                <w:rFonts w:ascii="Times New Roman" w:hAnsi="Times New Roman"/>
                <w:sz w:val="24"/>
                <w:szCs w:val="24"/>
              </w:rPr>
              <w:t xml:space="preserve">asset </w:t>
            </w:r>
            <w:r w:rsidRPr="00B520E9">
              <w:rPr>
                <w:rFonts w:ascii="Times New Roman" w:hAnsi="Times New Roman"/>
                <w:sz w:val="24"/>
                <w:szCs w:val="24"/>
              </w:rPr>
              <w:t>domicile</w:t>
            </w:r>
            <w:r w:rsidRPr="0022270B">
              <w:rPr>
                <w:rFonts w:ascii="Times New Roman" w:hAnsi="Times New Roman"/>
                <w:sz w:val="24"/>
                <w:szCs w:val="24"/>
              </w:rPr>
              <w:t xml:space="preserve"> </w:t>
            </w:r>
            <w:r>
              <w:rPr>
                <w:rFonts w:ascii="Times New Roman" w:hAnsi="Times New Roman"/>
                <w:sz w:val="24"/>
                <w:szCs w:val="24"/>
              </w:rPr>
              <w:t>type</w:t>
            </w:r>
            <w:r w:rsidR="000C3435">
              <w:rPr>
                <w:rFonts w:ascii="Times New Roman" w:hAnsi="Times New Roman"/>
                <w:sz w:val="24"/>
                <w:szCs w:val="24"/>
              </w:rPr>
              <w:t xml:space="preserve"> and</w:t>
            </w:r>
            <w:r w:rsidRPr="0022270B">
              <w:rPr>
                <w:rFonts w:ascii="Times New Roman" w:hAnsi="Times New Roman"/>
                <w:sz w:val="24"/>
                <w:szCs w:val="24"/>
              </w:rPr>
              <w:t xml:space="preserve"> </w:t>
            </w:r>
            <w:r w:rsidR="00372355">
              <w:rPr>
                <w:rFonts w:ascii="Times New Roman" w:hAnsi="Times New Roman"/>
                <w:sz w:val="24"/>
                <w:szCs w:val="24"/>
              </w:rPr>
              <w:t xml:space="preserve">asset </w:t>
            </w:r>
            <w:r>
              <w:rPr>
                <w:rFonts w:ascii="Times New Roman" w:hAnsi="Times New Roman"/>
                <w:sz w:val="24"/>
                <w:szCs w:val="24"/>
              </w:rPr>
              <w:t xml:space="preserve">listing type. </w:t>
            </w:r>
          </w:p>
          <w:p w:rsidR="00205B33" w:rsidRDefault="00205B33" w:rsidP="00205B33">
            <w:pPr>
              <w:spacing w:before="120" w:after="120"/>
              <w:jc w:val="both"/>
              <w:rPr>
                <w:rFonts w:ascii="Times New Roman" w:hAnsi="Times New Roman"/>
                <w:sz w:val="24"/>
                <w:szCs w:val="24"/>
              </w:rPr>
            </w:pPr>
            <w:r>
              <w:rPr>
                <w:rFonts w:ascii="Times New Roman" w:hAnsi="Times New Roman"/>
                <w:sz w:val="24"/>
                <w:szCs w:val="24"/>
              </w:rPr>
              <w:t>Exclude</w:t>
            </w:r>
            <w:r w:rsidRPr="00BC2D1F">
              <w:rPr>
                <w:rFonts w:ascii="Times New Roman" w:hAnsi="Times New Roman"/>
                <w:sz w:val="24"/>
                <w:szCs w:val="24"/>
              </w:rPr>
              <w:t xml:space="preserve"> </w:t>
            </w:r>
            <w:r w:rsidR="00172777">
              <w:rPr>
                <w:rFonts w:ascii="Times New Roman" w:hAnsi="Times New Roman"/>
                <w:sz w:val="24"/>
                <w:szCs w:val="24"/>
              </w:rPr>
              <w:t xml:space="preserve">from asset class type ‘other’ </w:t>
            </w:r>
            <w:r w:rsidRPr="00BC2D1F">
              <w:rPr>
                <w:rFonts w:ascii="Times New Roman" w:hAnsi="Times New Roman"/>
                <w:sz w:val="24"/>
                <w:szCs w:val="24"/>
              </w:rPr>
              <w:t>investments in multi-</w:t>
            </w:r>
            <w:r>
              <w:rPr>
                <w:rFonts w:ascii="Times New Roman" w:hAnsi="Times New Roman"/>
                <w:sz w:val="24"/>
                <w:szCs w:val="24"/>
              </w:rPr>
              <w:t>asset</w:t>
            </w:r>
            <w:r w:rsidRPr="00BC2D1F">
              <w:rPr>
                <w:rFonts w:ascii="Times New Roman" w:hAnsi="Times New Roman"/>
                <w:sz w:val="24"/>
                <w:szCs w:val="24"/>
              </w:rPr>
              <w:t xml:space="preserve"> class investment vehicles such as </w:t>
            </w:r>
            <w:r w:rsidRPr="005A1E59">
              <w:rPr>
                <w:rFonts w:ascii="Times New Roman" w:hAnsi="Times New Roman"/>
                <w:b/>
                <w:i/>
                <w:sz w:val="24"/>
                <w:szCs w:val="24"/>
              </w:rPr>
              <w:t>pooled superannuation trust</w:t>
            </w:r>
            <w:r>
              <w:rPr>
                <w:rFonts w:ascii="Times New Roman" w:hAnsi="Times New Roman"/>
                <w:sz w:val="24"/>
                <w:szCs w:val="24"/>
              </w:rPr>
              <w:t xml:space="preserve">, </w:t>
            </w:r>
            <w:r>
              <w:rPr>
                <w:rFonts w:ascii="Times New Roman" w:hAnsi="Times New Roman"/>
                <w:b/>
                <w:i/>
                <w:sz w:val="24"/>
                <w:szCs w:val="24"/>
              </w:rPr>
              <w:t xml:space="preserve">cash </w:t>
            </w:r>
            <w:r>
              <w:rPr>
                <w:rFonts w:ascii="Times New Roman" w:hAnsi="Times New Roman"/>
                <w:b/>
                <w:i/>
                <w:sz w:val="24"/>
                <w:szCs w:val="24"/>
              </w:rPr>
              <w:lastRenderedPageBreak/>
              <w:t>management trust,</w:t>
            </w:r>
            <w:r>
              <w:rPr>
                <w:rFonts w:ascii="Times New Roman" w:hAnsi="Times New Roman"/>
                <w:sz w:val="24"/>
                <w:szCs w:val="24"/>
              </w:rPr>
              <w:t xml:space="preserve"> </w:t>
            </w:r>
            <w:r w:rsidRPr="009C0AF0">
              <w:rPr>
                <w:rFonts w:ascii="Times New Roman" w:hAnsi="Times New Roman"/>
                <w:b/>
                <w:i/>
                <w:sz w:val="24"/>
                <w:szCs w:val="24"/>
              </w:rPr>
              <w:t>listed retail</w:t>
            </w:r>
            <w:r>
              <w:rPr>
                <w:rFonts w:ascii="Times New Roman" w:hAnsi="Times New Roman"/>
                <w:b/>
                <w:i/>
                <w:sz w:val="24"/>
                <w:szCs w:val="24"/>
              </w:rPr>
              <w:t xml:space="preserve"> </w:t>
            </w:r>
            <w:r w:rsidRPr="009C0AF0">
              <w:rPr>
                <w:rFonts w:ascii="Times New Roman" w:hAnsi="Times New Roman"/>
                <w:b/>
                <w:i/>
                <w:sz w:val="24"/>
                <w:szCs w:val="24"/>
              </w:rPr>
              <w:t>trust</w:t>
            </w:r>
            <w:r>
              <w:rPr>
                <w:rFonts w:ascii="Times New Roman" w:hAnsi="Times New Roman"/>
                <w:b/>
                <w:i/>
                <w:sz w:val="24"/>
                <w:szCs w:val="24"/>
              </w:rPr>
              <w:t>,</w:t>
            </w:r>
            <w:r w:rsidRPr="009C0AF0">
              <w:rPr>
                <w:rFonts w:ascii="Times New Roman" w:hAnsi="Times New Roman"/>
                <w:b/>
                <w:i/>
                <w:sz w:val="24"/>
                <w:szCs w:val="24"/>
              </w:rPr>
              <w:t xml:space="preserve"> unlisted retail</w:t>
            </w:r>
            <w:r>
              <w:rPr>
                <w:rFonts w:ascii="Times New Roman" w:hAnsi="Times New Roman"/>
                <w:b/>
                <w:i/>
                <w:sz w:val="24"/>
                <w:szCs w:val="24"/>
              </w:rPr>
              <w:t xml:space="preserve"> </w:t>
            </w:r>
            <w:r w:rsidRPr="009C0AF0">
              <w:rPr>
                <w:rFonts w:ascii="Times New Roman" w:hAnsi="Times New Roman"/>
                <w:b/>
                <w:i/>
                <w:sz w:val="24"/>
                <w:szCs w:val="24"/>
              </w:rPr>
              <w:t>trust</w:t>
            </w:r>
            <w:r w:rsidRPr="00294617">
              <w:rPr>
                <w:rFonts w:ascii="Times New Roman" w:hAnsi="Times New Roman"/>
                <w:sz w:val="24"/>
                <w:szCs w:val="24"/>
              </w:rPr>
              <w:t>,</w:t>
            </w:r>
            <w:r w:rsidRPr="009C0AF0">
              <w:rPr>
                <w:rFonts w:ascii="Times New Roman" w:hAnsi="Times New Roman"/>
                <w:b/>
                <w:i/>
                <w:sz w:val="24"/>
                <w:szCs w:val="24"/>
              </w:rPr>
              <w:t xml:space="preserve"> unlisted wholesale trust</w:t>
            </w:r>
            <w:r>
              <w:rPr>
                <w:rFonts w:ascii="Times New Roman" w:hAnsi="Times New Roman"/>
                <w:b/>
                <w:i/>
                <w:sz w:val="24"/>
                <w:szCs w:val="24"/>
              </w:rPr>
              <w:t>,</w:t>
            </w:r>
            <w:r>
              <w:rPr>
                <w:rFonts w:ascii="Times New Roman" w:hAnsi="Times New Roman"/>
                <w:sz w:val="24"/>
                <w:szCs w:val="24"/>
              </w:rPr>
              <w:t xml:space="preserve"> </w:t>
            </w:r>
            <w:r w:rsidRPr="009C0AF0">
              <w:rPr>
                <w:rFonts w:ascii="Times New Roman" w:hAnsi="Times New Roman"/>
                <w:b/>
                <w:i/>
                <w:sz w:val="24"/>
                <w:szCs w:val="24"/>
              </w:rPr>
              <w:t>life company guaranteed</w:t>
            </w:r>
            <w:r w:rsidR="00F550A9" w:rsidRPr="00591F60">
              <w:rPr>
                <w:rFonts w:ascii="Times New Roman" w:hAnsi="Times New Roman"/>
                <w:b/>
                <w:i/>
                <w:sz w:val="24"/>
                <w:szCs w:val="24"/>
              </w:rPr>
              <w:t>,</w:t>
            </w:r>
            <w:r w:rsidRPr="009C0AF0">
              <w:rPr>
                <w:rFonts w:ascii="Times New Roman" w:hAnsi="Times New Roman"/>
                <w:b/>
                <w:i/>
                <w:sz w:val="24"/>
                <w:szCs w:val="24"/>
              </w:rPr>
              <w:t xml:space="preserve"> life company investment linked</w:t>
            </w:r>
            <w:r w:rsidR="00F550A9" w:rsidRPr="00591F60">
              <w:rPr>
                <w:rFonts w:ascii="Times New Roman" w:hAnsi="Times New Roman"/>
                <w:b/>
                <w:i/>
                <w:sz w:val="24"/>
                <w:szCs w:val="24"/>
              </w:rPr>
              <w:t xml:space="preserve"> </w:t>
            </w:r>
            <w:r w:rsidR="00F550A9" w:rsidRPr="00CB3845">
              <w:rPr>
                <w:rFonts w:ascii="Times New Roman" w:hAnsi="Times New Roman"/>
                <w:sz w:val="24"/>
                <w:szCs w:val="24"/>
              </w:rPr>
              <w:t>and</w:t>
            </w:r>
            <w:r w:rsidR="00F550A9" w:rsidRPr="009C0AF0">
              <w:rPr>
                <w:rFonts w:ascii="Times New Roman" w:hAnsi="Times New Roman"/>
                <w:b/>
                <w:i/>
                <w:sz w:val="24"/>
                <w:szCs w:val="24"/>
              </w:rPr>
              <w:t xml:space="preserve"> </w:t>
            </w:r>
            <w:r w:rsidR="00F550A9" w:rsidRPr="00591F60">
              <w:rPr>
                <w:rFonts w:ascii="Times New Roman" w:hAnsi="Times New Roman"/>
                <w:b/>
                <w:i/>
                <w:sz w:val="24"/>
                <w:szCs w:val="24"/>
              </w:rPr>
              <w:t>life company other</w:t>
            </w:r>
            <w:r w:rsidRPr="00BC2D1F">
              <w:rPr>
                <w:rFonts w:ascii="Times New Roman" w:hAnsi="Times New Roman"/>
                <w:sz w:val="24"/>
                <w:szCs w:val="24"/>
              </w:rPr>
              <w:t xml:space="preserve">. Investments in these investment vehicles must be allocated to </w:t>
            </w:r>
            <w:r w:rsidR="00172777">
              <w:rPr>
                <w:rFonts w:ascii="Times New Roman" w:hAnsi="Times New Roman"/>
                <w:sz w:val="24"/>
                <w:szCs w:val="24"/>
              </w:rPr>
              <w:t>each</w:t>
            </w:r>
            <w:r w:rsidR="00172777" w:rsidRPr="00BC2D1F">
              <w:rPr>
                <w:rFonts w:ascii="Times New Roman" w:hAnsi="Times New Roman"/>
                <w:sz w:val="24"/>
                <w:szCs w:val="24"/>
              </w:rPr>
              <w:t xml:space="preserve"> </w:t>
            </w:r>
            <w:r w:rsidR="00172777">
              <w:rPr>
                <w:rFonts w:ascii="Times New Roman" w:hAnsi="Times New Roman"/>
                <w:sz w:val="24"/>
                <w:szCs w:val="24"/>
              </w:rPr>
              <w:t>asset</w:t>
            </w:r>
            <w:r w:rsidR="00172777" w:rsidRPr="00BC2D1F">
              <w:rPr>
                <w:rFonts w:ascii="Times New Roman" w:hAnsi="Times New Roman"/>
                <w:sz w:val="24"/>
                <w:szCs w:val="24"/>
              </w:rPr>
              <w:t xml:space="preserve"> class</w:t>
            </w:r>
            <w:r w:rsidR="00172777">
              <w:rPr>
                <w:rFonts w:ascii="Times New Roman" w:hAnsi="Times New Roman"/>
                <w:sz w:val="24"/>
                <w:szCs w:val="24"/>
              </w:rPr>
              <w:t xml:space="preserve">, </w:t>
            </w:r>
            <w:r w:rsidR="00372355">
              <w:rPr>
                <w:rFonts w:ascii="Times New Roman" w:hAnsi="Times New Roman"/>
                <w:sz w:val="24"/>
                <w:szCs w:val="24"/>
              </w:rPr>
              <w:t xml:space="preserve">asset </w:t>
            </w:r>
            <w:r w:rsidR="00172777">
              <w:rPr>
                <w:rFonts w:ascii="Times New Roman" w:hAnsi="Times New Roman"/>
                <w:sz w:val="24"/>
                <w:szCs w:val="24"/>
              </w:rPr>
              <w:t xml:space="preserve">domicile and </w:t>
            </w:r>
            <w:r w:rsidR="00372355">
              <w:rPr>
                <w:rFonts w:ascii="Times New Roman" w:hAnsi="Times New Roman"/>
                <w:sz w:val="24"/>
                <w:szCs w:val="24"/>
              </w:rPr>
              <w:t xml:space="preserve">asset </w:t>
            </w:r>
            <w:r w:rsidR="00172777">
              <w:rPr>
                <w:rFonts w:ascii="Times New Roman" w:hAnsi="Times New Roman"/>
                <w:sz w:val="24"/>
                <w:szCs w:val="24"/>
              </w:rPr>
              <w:t>listing</w:t>
            </w:r>
            <w:r w:rsidR="00172777" w:rsidRPr="00BC2D1F">
              <w:rPr>
                <w:rFonts w:ascii="Times New Roman" w:hAnsi="Times New Roman"/>
                <w:sz w:val="24"/>
                <w:szCs w:val="24"/>
              </w:rPr>
              <w:t xml:space="preserve"> </w:t>
            </w:r>
            <w:r w:rsidR="00172777">
              <w:rPr>
                <w:rFonts w:ascii="Times New Roman" w:hAnsi="Times New Roman"/>
                <w:sz w:val="24"/>
                <w:szCs w:val="24"/>
              </w:rPr>
              <w:t>represented in</w:t>
            </w:r>
            <w:r w:rsidR="00172777" w:rsidRPr="00BC2D1F">
              <w:rPr>
                <w:rFonts w:ascii="Times New Roman" w:hAnsi="Times New Roman"/>
                <w:sz w:val="24"/>
                <w:szCs w:val="24"/>
              </w:rPr>
              <w:t xml:space="preserve"> the underlying </w:t>
            </w:r>
            <w:r w:rsidR="00172777">
              <w:rPr>
                <w:rFonts w:ascii="Times New Roman" w:hAnsi="Times New Roman"/>
                <w:sz w:val="24"/>
                <w:szCs w:val="24"/>
              </w:rPr>
              <w:t>investment</w:t>
            </w:r>
            <w:r w:rsidR="00172777" w:rsidRPr="00BC2D1F">
              <w:rPr>
                <w:rFonts w:ascii="Times New Roman" w:hAnsi="Times New Roman"/>
                <w:sz w:val="24"/>
                <w:szCs w:val="24"/>
              </w:rPr>
              <w:t>.</w:t>
            </w:r>
          </w:p>
          <w:p w:rsidR="00205B33" w:rsidRDefault="00205B33" w:rsidP="00205B33">
            <w:pPr>
              <w:spacing w:before="120" w:after="120"/>
              <w:jc w:val="both"/>
              <w:rPr>
                <w:rFonts w:ascii="Times New Roman" w:hAnsi="Times New Roman"/>
                <w:i/>
                <w:sz w:val="24"/>
                <w:szCs w:val="24"/>
              </w:rPr>
            </w:pPr>
            <w:r w:rsidRPr="00374BD1">
              <w:rPr>
                <w:rFonts w:ascii="Times New Roman" w:hAnsi="Times New Roman"/>
                <w:i/>
                <w:sz w:val="24"/>
                <w:szCs w:val="24"/>
              </w:rPr>
              <w:t>Examples of other investments include: hedge funds, mezzanine debt, convertible debt</w:t>
            </w:r>
            <w:r>
              <w:rPr>
                <w:rFonts w:ascii="Times New Roman" w:hAnsi="Times New Roman"/>
                <w:i/>
                <w:sz w:val="24"/>
                <w:szCs w:val="24"/>
              </w:rPr>
              <w:t>.</w:t>
            </w:r>
          </w:p>
          <w:p w:rsidR="00172777" w:rsidRDefault="00172777" w:rsidP="00172777">
            <w:pPr>
              <w:spacing w:before="120" w:after="120"/>
              <w:jc w:val="both"/>
              <w:rPr>
                <w:rFonts w:ascii="Times New Roman" w:hAnsi="Times New Roman"/>
                <w:i/>
                <w:sz w:val="24"/>
                <w:szCs w:val="24"/>
              </w:rPr>
            </w:pPr>
            <w:r>
              <w:rPr>
                <w:rFonts w:ascii="Times New Roman" w:hAnsi="Times New Roman"/>
                <w:i/>
                <w:sz w:val="24"/>
                <w:szCs w:val="24"/>
              </w:rPr>
              <w:t>Examples of listed equity investments include: common shares, preference shares. Exchange traded funds (ETFs) and listed trusts are to be allocated to the asset class of the underlying asset. Include equity ETFs, and listed equity trusts in listed equity. Exclude non-equity ETFs and listed trusts such as: fixed income ETFs, commodity ETFs, listed property trusts and listed infrastructure trusts.</w:t>
            </w:r>
          </w:p>
          <w:p w:rsidR="00205B33" w:rsidRDefault="00205B33" w:rsidP="00205B33">
            <w:pPr>
              <w:spacing w:before="120" w:after="120"/>
              <w:jc w:val="both"/>
              <w:rPr>
                <w:rFonts w:ascii="Times New Roman" w:hAnsi="Times New Roman"/>
                <w:i/>
                <w:sz w:val="24"/>
                <w:szCs w:val="24"/>
              </w:rPr>
            </w:pPr>
            <w:r>
              <w:rPr>
                <w:rFonts w:ascii="Times New Roman" w:hAnsi="Times New Roman"/>
                <w:i/>
                <w:sz w:val="24"/>
                <w:szCs w:val="24"/>
              </w:rPr>
              <w:t>Examples of unlisted equity investments include: venture capital, private equity.</w:t>
            </w:r>
          </w:p>
          <w:p w:rsidR="00205B33" w:rsidRPr="00970DFD" w:rsidRDefault="00172777" w:rsidP="00F4321B">
            <w:pPr>
              <w:widowControl w:val="0"/>
              <w:spacing w:before="120" w:after="120"/>
              <w:jc w:val="both"/>
              <w:rPr>
                <w:rFonts w:ascii="Times New Roman" w:hAnsi="Times New Roman"/>
                <w:color w:val="000000"/>
                <w:sz w:val="24"/>
                <w:szCs w:val="24"/>
              </w:rPr>
            </w:pPr>
            <w:r>
              <w:rPr>
                <w:rFonts w:ascii="Times New Roman" w:hAnsi="Times New Roman"/>
                <w:i/>
                <w:sz w:val="24"/>
                <w:szCs w:val="24"/>
              </w:rPr>
              <w:t xml:space="preserve">Examples of commodities include: </w:t>
            </w:r>
            <w:r w:rsidRPr="00496C1B">
              <w:rPr>
                <w:rFonts w:ascii="Times New Roman" w:hAnsi="Times New Roman"/>
                <w:i/>
                <w:sz w:val="24"/>
                <w:szCs w:val="24"/>
              </w:rPr>
              <w:t xml:space="preserve">precious metals, agricultural natural resources, energy, livestock, </w:t>
            </w:r>
            <w:r>
              <w:rPr>
                <w:rFonts w:ascii="Times New Roman" w:hAnsi="Times New Roman"/>
                <w:i/>
                <w:sz w:val="24"/>
                <w:szCs w:val="24"/>
              </w:rPr>
              <w:t xml:space="preserve">commodity ETFs, </w:t>
            </w:r>
            <w:r w:rsidRPr="00496C1B">
              <w:rPr>
                <w:rFonts w:ascii="Times New Roman" w:hAnsi="Times New Roman"/>
                <w:i/>
                <w:sz w:val="24"/>
                <w:szCs w:val="24"/>
              </w:rPr>
              <w:t>exchange traded</w:t>
            </w:r>
            <w:r>
              <w:rPr>
                <w:rFonts w:ascii="Times New Roman" w:hAnsi="Times New Roman"/>
                <w:i/>
                <w:sz w:val="24"/>
                <w:szCs w:val="24"/>
              </w:rPr>
              <w:t xml:space="preserve"> commodities (ETCs).</w:t>
            </w:r>
          </w:p>
        </w:tc>
      </w:tr>
      <w:tr w:rsidR="00050E15" w:rsidRPr="00CF07C1" w:rsidTr="003A0B11">
        <w:tc>
          <w:tcPr>
            <w:tcW w:w="1701" w:type="dxa"/>
          </w:tcPr>
          <w:p w:rsidR="00050E15" w:rsidRPr="00050E15" w:rsidRDefault="00050E15" w:rsidP="003A0B11">
            <w:pPr>
              <w:spacing w:before="120" w:after="120"/>
              <w:rPr>
                <w:rFonts w:ascii="Times New Roman" w:hAnsi="Times New Roman"/>
                <w:b/>
                <w:i/>
                <w:sz w:val="24"/>
                <w:szCs w:val="24"/>
              </w:rPr>
            </w:pPr>
            <w:r w:rsidRPr="00050E15">
              <w:rPr>
                <w:rFonts w:ascii="Times New Roman" w:hAnsi="Times New Roman"/>
                <w:b/>
                <w:i/>
                <w:color w:val="000000"/>
                <w:sz w:val="24"/>
                <w:szCs w:val="24"/>
              </w:rPr>
              <w:lastRenderedPageBreak/>
              <w:t xml:space="preserve">Benchmark asset allocation </w:t>
            </w:r>
          </w:p>
        </w:tc>
        <w:tc>
          <w:tcPr>
            <w:tcW w:w="7370" w:type="dxa"/>
          </w:tcPr>
          <w:p w:rsidR="00050E15" w:rsidRPr="00CF07C1" w:rsidRDefault="00050E15" w:rsidP="000C3435">
            <w:pPr>
              <w:widowControl w:val="0"/>
              <w:spacing w:before="120" w:after="120"/>
              <w:jc w:val="both"/>
              <w:rPr>
                <w:rFonts w:ascii="Times New Roman" w:hAnsi="Times New Roman"/>
                <w:sz w:val="24"/>
                <w:szCs w:val="24"/>
              </w:rPr>
            </w:pPr>
            <w:r w:rsidRPr="00FF59B0">
              <w:rPr>
                <w:rFonts w:ascii="Times New Roman" w:hAnsi="Times New Roman"/>
                <w:color w:val="000000"/>
                <w:sz w:val="24"/>
                <w:szCs w:val="24"/>
              </w:rPr>
              <w:t>Represents the target proportion of assets which the RSE licensee has adopted</w:t>
            </w:r>
            <w:r w:rsidR="00970DFD">
              <w:rPr>
                <w:rFonts w:ascii="Times New Roman" w:hAnsi="Times New Roman"/>
                <w:color w:val="000000"/>
                <w:sz w:val="24"/>
                <w:szCs w:val="24"/>
              </w:rPr>
              <w:t xml:space="preserve"> </w:t>
            </w:r>
            <w:r w:rsidRPr="00FF59B0">
              <w:rPr>
                <w:rFonts w:ascii="Times New Roman" w:hAnsi="Times New Roman"/>
                <w:color w:val="000000"/>
                <w:sz w:val="24"/>
                <w:szCs w:val="24"/>
              </w:rPr>
              <w:t xml:space="preserve">as being appropriate in order to meet the investment objectives of </w:t>
            </w:r>
            <w:r w:rsidR="00970DFD">
              <w:rPr>
                <w:rFonts w:ascii="Times New Roman" w:hAnsi="Times New Roman"/>
                <w:color w:val="000000"/>
                <w:sz w:val="24"/>
                <w:szCs w:val="24"/>
              </w:rPr>
              <w:t>the</w:t>
            </w:r>
            <w:r w:rsidR="00970DFD" w:rsidRPr="00FF59B0">
              <w:rPr>
                <w:rFonts w:ascii="Times New Roman" w:hAnsi="Times New Roman"/>
                <w:color w:val="000000"/>
                <w:sz w:val="24"/>
                <w:szCs w:val="24"/>
              </w:rPr>
              <w:t xml:space="preserve"> </w:t>
            </w:r>
            <w:r w:rsidRPr="00FF59B0">
              <w:rPr>
                <w:rFonts w:ascii="Times New Roman" w:hAnsi="Times New Roman"/>
                <w:color w:val="000000"/>
                <w:sz w:val="24"/>
                <w:szCs w:val="24"/>
              </w:rPr>
              <w:t xml:space="preserve">investment </w:t>
            </w:r>
            <w:r w:rsidR="00970DFD">
              <w:rPr>
                <w:rFonts w:ascii="Times New Roman" w:hAnsi="Times New Roman"/>
                <w:color w:val="000000"/>
                <w:sz w:val="24"/>
                <w:szCs w:val="24"/>
              </w:rPr>
              <w:t>strategy</w:t>
            </w:r>
            <w:r w:rsidRPr="00FF59B0">
              <w:rPr>
                <w:rFonts w:ascii="Times New Roman" w:hAnsi="Times New Roman"/>
                <w:color w:val="000000"/>
                <w:sz w:val="24"/>
                <w:szCs w:val="24"/>
              </w:rPr>
              <w:t>.</w:t>
            </w:r>
            <w:r w:rsidR="00BF7AD5">
              <w:rPr>
                <w:rFonts w:ascii="Times New Roman" w:hAnsi="Times New Roman"/>
                <w:color w:val="000000"/>
                <w:sz w:val="24"/>
                <w:szCs w:val="24"/>
              </w:rPr>
              <w:t xml:space="preserve"> </w:t>
            </w:r>
            <w:r w:rsidRPr="00FF59B0">
              <w:rPr>
                <w:rFonts w:ascii="Times New Roman" w:hAnsi="Times New Roman"/>
                <w:color w:val="000000"/>
                <w:sz w:val="24"/>
                <w:szCs w:val="24"/>
              </w:rPr>
              <w:t xml:space="preserve">Reference: </w:t>
            </w:r>
            <w:r w:rsidRPr="00FF59B0">
              <w:rPr>
                <w:rFonts w:ascii="Times New Roman" w:hAnsi="Times New Roman"/>
                <w:i/>
                <w:color w:val="000000"/>
                <w:sz w:val="24"/>
                <w:szCs w:val="24"/>
              </w:rPr>
              <w:t>Prudential Standard SPS 530 Investment Governance</w:t>
            </w:r>
            <w:r w:rsidR="00A71419">
              <w:rPr>
                <w:rFonts w:ascii="Times New Roman" w:hAnsi="Times New Roman"/>
                <w:color w:val="000000"/>
                <w:sz w:val="24"/>
                <w:szCs w:val="24"/>
              </w:rPr>
              <w:t>.</w:t>
            </w:r>
          </w:p>
        </w:tc>
      </w:tr>
      <w:tr w:rsidR="00050E15" w:rsidRPr="00CF07C1" w:rsidTr="003A0B11">
        <w:tc>
          <w:tcPr>
            <w:tcW w:w="1701" w:type="dxa"/>
          </w:tcPr>
          <w:p w:rsidR="00050E15" w:rsidRPr="00050E15" w:rsidRDefault="00050E15" w:rsidP="003A0B11">
            <w:pPr>
              <w:spacing w:before="120" w:after="120"/>
              <w:rPr>
                <w:rFonts w:ascii="Times New Roman" w:hAnsi="Times New Roman"/>
                <w:b/>
                <w:i/>
                <w:sz w:val="24"/>
                <w:szCs w:val="24"/>
              </w:rPr>
            </w:pPr>
            <w:r w:rsidRPr="00050E15">
              <w:rPr>
                <w:rFonts w:ascii="Times New Roman" w:hAnsi="Times New Roman"/>
                <w:b/>
                <w:i/>
                <w:color w:val="000000"/>
                <w:sz w:val="24"/>
                <w:szCs w:val="24"/>
              </w:rPr>
              <w:t xml:space="preserve">Lower end of </w:t>
            </w:r>
            <w:r w:rsidR="00172777" w:rsidRPr="00050E15">
              <w:rPr>
                <w:rFonts w:ascii="Times New Roman" w:hAnsi="Times New Roman"/>
                <w:b/>
                <w:i/>
                <w:color w:val="000000"/>
                <w:sz w:val="24"/>
                <w:szCs w:val="24"/>
              </w:rPr>
              <w:t xml:space="preserve">asset allocation </w:t>
            </w:r>
            <w:r w:rsidRPr="00050E15">
              <w:rPr>
                <w:rFonts w:ascii="Times New Roman" w:hAnsi="Times New Roman"/>
                <w:b/>
                <w:i/>
                <w:color w:val="000000"/>
                <w:sz w:val="24"/>
                <w:szCs w:val="24"/>
              </w:rPr>
              <w:t>range</w:t>
            </w:r>
          </w:p>
        </w:tc>
        <w:tc>
          <w:tcPr>
            <w:tcW w:w="7370" w:type="dxa"/>
          </w:tcPr>
          <w:p w:rsidR="00050E15" w:rsidRPr="00CF07C1" w:rsidRDefault="00E56C5B" w:rsidP="000C3435">
            <w:pPr>
              <w:widowControl w:val="0"/>
              <w:spacing w:before="120" w:after="120"/>
              <w:jc w:val="both"/>
              <w:rPr>
                <w:rFonts w:ascii="Times New Roman" w:hAnsi="Times New Roman"/>
                <w:sz w:val="24"/>
                <w:szCs w:val="24"/>
              </w:rPr>
            </w:pPr>
            <w:r w:rsidRPr="00E56C5B">
              <w:rPr>
                <w:rFonts w:ascii="Times New Roman" w:hAnsi="Times New Roman"/>
                <w:color w:val="000000"/>
                <w:sz w:val="24"/>
                <w:szCs w:val="24"/>
              </w:rPr>
              <w:t xml:space="preserve">Represents the minimum proportion of assets </w:t>
            </w:r>
            <w:r w:rsidR="00172777">
              <w:rPr>
                <w:rFonts w:ascii="Times New Roman" w:hAnsi="Times New Roman"/>
                <w:color w:val="000000"/>
                <w:sz w:val="24"/>
                <w:szCs w:val="24"/>
              </w:rPr>
              <w:t xml:space="preserve">to be invested </w:t>
            </w:r>
            <w:r w:rsidRPr="00E56C5B">
              <w:rPr>
                <w:rFonts w:ascii="Times New Roman" w:hAnsi="Times New Roman"/>
                <w:color w:val="000000"/>
                <w:sz w:val="24"/>
                <w:szCs w:val="24"/>
              </w:rPr>
              <w:t xml:space="preserve">in an asset class to meet the investment objectives of the investment strategy. Reference: </w:t>
            </w:r>
            <w:r w:rsidRPr="00E56C5B">
              <w:rPr>
                <w:rFonts w:ascii="Times New Roman" w:hAnsi="Times New Roman"/>
                <w:i/>
                <w:color w:val="000000"/>
                <w:sz w:val="24"/>
                <w:szCs w:val="24"/>
              </w:rPr>
              <w:t>Prudential Standard SPS 530 Investment Governance</w:t>
            </w:r>
            <w:r w:rsidR="00A71419">
              <w:rPr>
                <w:rFonts w:ascii="Times New Roman" w:hAnsi="Times New Roman"/>
                <w:color w:val="000000"/>
                <w:sz w:val="24"/>
                <w:szCs w:val="24"/>
              </w:rPr>
              <w:t>.</w:t>
            </w:r>
          </w:p>
        </w:tc>
      </w:tr>
      <w:tr w:rsidR="00050E15" w:rsidRPr="00CF07C1" w:rsidTr="003A0B11">
        <w:tc>
          <w:tcPr>
            <w:tcW w:w="1701" w:type="dxa"/>
          </w:tcPr>
          <w:p w:rsidR="00050E15" w:rsidRPr="00050E15" w:rsidRDefault="00050E15" w:rsidP="003A0B11">
            <w:pPr>
              <w:spacing w:before="120" w:after="120"/>
              <w:rPr>
                <w:rFonts w:ascii="Times New Roman" w:hAnsi="Times New Roman"/>
                <w:b/>
                <w:i/>
                <w:sz w:val="24"/>
                <w:szCs w:val="24"/>
              </w:rPr>
            </w:pPr>
            <w:r w:rsidRPr="00050E15">
              <w:rPr>
                <w:rFonts w:ascii="Times New Roman" w:hAnsi="Times New Roman"/>
                <w:b/>
                <w:i/>
                <w:color w:val="000000"/>
                <w:sz w:val="24"/>
                <w:szCs w:val="24"/>
              </w:rPr>
              <w:t xml:space="preserve">Upper end of </w:t>
            </w:r>
            <w:r w:rsidR="00172777" w:rsidRPr="00050E15">
              <w:rPr>
                <w:rFonts w:ascii="Times New Roman" w:hAnsi="Times New Roman"/>
                <w:b/>
                <w:i/>
                <w:color w:val="000000"/>
                <w:sz w:val="24"/>
                <w:szCs w:val="24"/>
              </w:rPr>
              <w:t>asset allocation range</w:t>
            </w:r>
          </w:p>
        </w:tc>
        <w:tc>
          <w:tcPr>
            <w:tcW w:w="7370" w:type="dxa"/>
          </w:tcPr>
          <w:p w:rsidR="00050E15" w:rsidRPr="00CF07C1" w:rsidRDefault="00E56C5B" w:rsidP="000C3435">
            <w:pPr>
              <w:widowControl w:val="0"/>
              <w:spacing w:before="120" w:after="120"/>
              <w:jc w:val="both"/>
              <w:rPr>
                <w:rFonts w:ascii="Times New Roman" w:hAnsi="Times New Roman"/>
                <w:sz w:val="24"/>
                <w:szCs w:val="24"/>
              </w:rPr>
            </w:pPr>
            <w:r w:rsidRPr="00E56C5B">
              <w:rPr>
                <w:rFonts w:ascii="Times New Roman" w:hAnsi="Times New Roman"/>
                <w:color w:val="000000"/>
                <w:sz w:val="24"/>
                <w:szCs w:val="24"/>
              </w:rPr>
              <w:t xml:space="preserve">Represents the maximum proportion of assets </w:t>
            </w:r>
            <w:r w:rsidR="00172777">
              <w:rPr>
                <w:rFonts w:ascii="Times New Roman" w:hAnsi="Times New Roman"/>
                <w:color w:val="000000"/>
                <w:sz w:val="24"/>
                <w:szCs w:val="24"/>
              </w:rPr>
              <w:t xml:space="preserve">to be invested </w:t>
            </w:r>
            <w:r w:rsidRPr="00E56C5B">
              <w:rPr>
                <w:rFonts w:ascii="Times New Roman" w:hAnsi="Times New Roman"/>
                <w:color w:val="000000"/>
                <w:sz w:val="24"/>
                <w:szCs w:val="24"/>
              </w:rPr>
              <w:t xml:space="preserve">in an asset class to meet the investment objectives of the investment strategy. Reference: </w:t>
            </w:r>
            <w:r w:rsidRPr="00E56C5B">
              <w:rPr>
                <w:rFonts w:ascii="Times New Roman" w:hAnsi="Times New Roman"/>
                <w:i/>
                <w:color w:val="000000"/>
                <w:sz w:val="24"/>
                <w:szCs w:val="24"/>
              </w:rPr>
              <w:t>Prudential Standard SPS 530 Investment Governance</w:t>
            </w:r>
            <w:r w:rsidR="00A71419">
              <w:rPr>
                <w:rFonts w:ascii="Times New Roman" w:hAnsi="Times New Roman"/>
                <w:color w:val="000000"/>
                <w:sz w:val="24"/>
                <w:szCs w:val="24"/>
              </w:rPr>
              <w:t>.</w:t>
            </w:r>
          </w:p>
        </w:tc>
      </w:tr>
      <w:tr w:rsidR="00050E15" w:rsidRPr="00CF07C1" w:rsidTr="00F4321B">
        <w:tc>
          <w:tcPr>
            <w:tcW w:w="1701" w:type="dxa"/>
            <w:shd w:val="clear" w:color="auto" w:fill="auto"/>
          </w:tcPr>
          <w:p w:rsidR="00050E15" w:rsidRPr="00F4321B" w:rsidRDefault="002712FD" w:rsidP="003A0B11">
            <w:pPr>
              <w:spacing w:before="120" w:after="120"/>
              <w:rPr>
                <w:rFonts w:ascii="Times New Roman" w:hAnsi="Times New Roman"/>
                <w:b/>
                <w:i/>
                <w:sz w:val="24"/>
                <w:szCs w:val="24"/>
              </w:rPr>
            </w:pPr>
            <w:r w:rsidRPr="00F4321B">
              <w:rPr>
                <w:rFonts w:ascii="Times New Roman" w:hAnsi="Times New Roman"/>
                <w:b/>
                <w:i/>
                <w:color w:val="000000"/>
                <w:sz w:val="24"/>
                <w:szCs w:val="24"/>
              </w:rPr>
              <w:t>Currency</w:t>
            </w:r>
            <w:r w:rsidRPr="002712FD">
              <w:rPr>
                <w:rFonts w:ascii="Times New Roman" w:hAnsi="Times New Roman"/>
                <w:b/>
                <w:i/>
                <w:color w:val="000000"/>
                <w:sz w:val="24"/>
                <w:szCs w:val="24"/>
              </w:rPr>
              <w:t xml:space="preserve"> </w:t>
            </w:r>
            <w:r w:rsidR="00050E15" w:rsidRPr="005752FE">
              <w:rPr>
                <w:rFonts w:ascii="Times New Roman" w:hAnsi="Times New Roman"/>
                <w:b/>
                <w:i/>
                <w:color w:val="000000"/>
                <w:sz w:val="24"/>
                <w:szCs w:val="24"/>
              </w:rPr>
              <w:t>hedging ratio</w:t>
            </w:r>
          </w:p>
        </w:tc>
        <w:tc>
          <w:tcPr>
            <w:tcW w:w="7370" w:type="dxa"/>
            <w:shd w:val="clear" w:color="auto" w:fill="auto"/>
          </w:tcPr>
          <w:p w:rsidR="00050E15" w:rsidRPr="00383EAA" w:rsidRDefault="00050E15" w:rsidP="002712FD">
            <w:pPr>
              <w:spacing w:before="120" w:after="120"/>
              <w:jc w:val="both"/>
              <w:rPr>
                <w:rFonts w:ascii="Times New Roman" w:hAnsi="Times New Roman"/>
                <w:sz w:val="24"/>
                <w:szCs w:val="24"/>
              </w:rPr>
            </w:pPr>
            <w:r w:rsidRPr="00F4321B">
              <w:rPr>
                <w:rFonts w:ascii="Times New Roman" w:hAnsi="Times New Roman"/>
                <w:color w:val="000000"/>
                <w:sz w:val="24"/>
                <w:szCs w:val="24"/>
              </w:rPr>
              <w:t xml:space="preserve">Represents the target level of </w:t>
            </w:r>
            <w:r w:rsidR="00FC4AAF" w:rsidRPr="00F4321B">
              <w:rPr>
                <w:rFonts w:ascii="Times New Roman" w:hAnsi="Times New Roman"/>
                <w:color w:val="000000"/>
                <w:sz w:val="24"/>
                <w:szCs w:val="24"/>
              </w:rPr>
              <w:t xml:space="preserve">currency </w:t>
            </w:r>
            <w:r w:rsidRPr="00F4321B">
              <w:rPr>
                <w:rFonts w:ascii="Times New Roman" w:hAnsi="Times New Roman"/>
                <w:color w:val="000000"/>
                <w:sz w:val="24"/>
                <w:szCs w:val="24"/>
              </w:rPr>
              <w:t xml:space="preserve">hedging (i.e. where </w:t>
            </w:r>
            <w:r w:rsidR="002712FD" w:rsidRPr="00F4321B">
              <w:rPr>
                <w:rFonts w:ascii="Times New Roman" w:hAnsi="Times New Roman"/>
                <w:color w:val="000000"/>
                <w:sz w:val="24"/>
                <w:szCs w:val="24"/>
              </w:rPr>
              <w:t>derivative financial instruments are used to reduce the risk of adverse currency movements)</w:t>
            </w:r>
            <w:r w:rsidR="004648E2" w:rsidRPr="00757633">
              <w:rPr>
                <w:rFonts w:ascii="Times New Roman" w:hAnsi="Times New Roman"/>
                <w:color w:val="000000"/>
                <w:sz w:val="24"/>
                <w:szCs w:val="24"/>
              </w:rPr>
              <w:t>,</w:t>
            </w:r>
            <w:r w:rsidR="004648E2" w:rsidRPr="00DD6368">
              <w:rPr>
                <w:rFonts w:ascii="Times New Roman" w:hAnsi="Times New Roman"/>
                <w:color w:val="000000"/>
                <w:sz w:val="24"/>
                <w:szCs w:val="24"/>
              </w:rPr>
              <w:t xml:space="preserve"> which</w:t>
            </w:r>
            <w:r w:rsidRPr="00DD6368">
              <w:rPr>
                <w:rFonts w:ascii="Times New Roman" w:hAnsi="Times New Roman"/>
                <w:color w:val="000000"/>
                <w:sz w:val="24"/>
                <w:szCs w:val="24"/>
              </w:rPr>
              <w:t xml:space="preserve"> the RSE licensee has adopted as being appropriate to meet the investment objectives of the investment </w:t>
            </w:r>
            <w:r w:rsidR="00970DFD" w:rsidRPr="00DD6368">
              <w:rPr>
                <w:rFonts w:ascii="Times New Roman" w:hAnsi="Times New Roman"/>
                <w:color w:val="000000"/>
                <w:sz w:val="24"/>
                <w:szCs w:val="24"/>
              </w:rPr>
              <w:t>strategy</w:t>
            </w:r>
            <w:r w:rsidRPr="00383EAA">
              <w:rPr>
                <w:rFonts w:ascii="Times New Roman" w:hAnsi="Times New Roman"/>
                <w:color w:val="000000"/>
                <w:sz w:val="24"/>
                <w:szCs w:val="24"/>
              </w:rPr>
              <w:t xml:space="preserve">. </w:t>
            </w:r>
          </w:p>
        </w:tc>
      </w:tr>
    </w:tbl>
    <w:p w:rsidR="00DB2B19" w:rsidRDefault="00DB2B19" w:rsidP="00EE76C0">
      <w:pPr>
        <w:widowControl w:val="0"/>
        <w:jc w:val="both"/>
        <w:rPr>
          <w:rFonts w:ascii="Arial" w:eastAsia="Times New Roman" w:hAnsi="Arial" w:cs="Arial"/>
          <w:b/>
          <w:lang w:eastAsia="en-AU"/>
        </w:rPr>
      </w:pPr>
    </w:p>
    <w:p w:rsidR="00DB2B19" w:rsidRDefault="00884117" w:rsidP="00DB2B19">
      <w:pPr>
        <w:widowControl w:val="0"/>
        <w:spacing w:after="240"/>
        <w:jc w:val="both"/>
        <w:rPr>
          <w:rFonts w:ascii="Arial" w:hAnsi="Arial" w:cs="Arial"/>
          <w:b/>
          <w:color w:val="000000"/>
          <w:sz w:val="24"/>
          <w:szCs w:val="24"/>
        </w:rPr>
      </w:pPr>
      <w:r>
        <w:rPr>
          <w:rFonts w:ascii="Arial" w:eastAsia="Times New Roman" w:hAnsi="Arial" w:cs="Arial"/>
          <w:b/>
          <w:lang w:eastAsia="en-AU"/>
        </w:rPr>
        <w:t>Directly held and indirectly held investments</w:t>
      </w:r>
      <w:r w:rsidRPr="00FF59B0" w:rsidDel="00884117">
        <w:rPr>
          <w:rFonts w:ascii="Arial" w:hAnsi="Arial" w:cs="Arial"/>
          <w:b/>
          <w:color w:val="000000"/>
          <w:sz w:val="24"/>
          <w:szCs w:val="24"/>
        </w:rPr>
        <w:t xml:space="preserve"> </w:t>
      </w:r>
    </w:p>
    <w:p w:rsidR="0081430D" w:rsidRDefault="00EE76C0" w:rsidP="00EE76C0">
      <w:pPr>
        <w:widowControl w:val="0"/>
        <w:spacing w:after="240"/>
        <w:jc w:val="both"/>
        <w:rPr>
          <w:rFonts w:ascii="Times New Roman" w:hAnsi="Times New Roman"/>
          <w:color w:val="000000"/>
          <w:sz w:val="24"/>
          <w:szCs w:val="24"/>
        </w:rPr>
      </w:pPr>
      <w:r>
        <w:rPr>
          <w:rFonts w:ascii="Times New Roman" w:hAnsi="Times New Roman"/>
          <w:color w:val="000000"/>
          <w:sz w:val="24"/>
          <w:szCs w:val="24"/>
        </w:rPr>
        <w:t xml:space="preserve">Item 2 collects </w:t>
      </w:r>
      <w:r w:rsidR="00EF6D09" w:rsidRPr="00FF59B0">
        <w:rPr>
          <w:rFonts w:ascii="Times New Roman" w:hAnsi="Times New Roman"/>
          <w:color w:val="000000"/>
          <w:sz w:val="24"/>
          <w:szCs w:val="24"/>
        </w:rPr>
        <w:t xml:space="preserve">the </w:t>
      </w:r>
      <w:r w:rsidR="00884117" w:rsidRPr="00884117">
        <w:rPr>
          <w:rFonts w:ascii="Times New Roman" w:hAnsi="Times New Roman"/>
          <w:color w:val="000000"/>
          <w:sz w:val="24"/>
          <w:szCs w:val="24"/>
        </w:rPr>
        <w:t>directly held and indirectly held investments</w:t>
      </w:r>
      <w:r w:rsidR="00DE4923">
        <w:rPr>
          <w:rFonts w:ascii="Times New Roman" w:hAnsi="Times New Roman"/>
          <w:color w:val="000000"/>
          <w:sz w:val="24"/>
          <w:szCs w:val="24"/>
        </w:rPr>
        <w:t>, total investments and total assets</w:t>
      </w:r>
      <w:r w:rsidR="00EF6D09" w:rsidRPr="00FF59B0">
        <w:rPr>
          <w:rFonts w:ascii="Times New Roman" w:hAnsi="Times New Roman"/>
          <w:color w:val="000000"/>
          <w:sz w:val="24"/>
          <w:szCs w:val="24"/>
        </w:rPr>
        <w:t xml:space="preserve"> of the </w:t>
      </w:r>
      <w:r w:rsidR="00E34DF4">
        <w:rPr>
          <w:rFonts w:ascii="Times New Roman" w:hAnsi="Times New Roman"/>
          <w:sz w:val="24"/>
          <w:szCs w:val="24"/>
        </w:rPr>
        <w:t>s</w:t>
      </w:r>
      <w:r w:rsidR="007C006E">
        <w:rPr>
          <w:rFonts w:ascii="Times New Roman" w:hAnsi="Times New Roman"/>
          <w:sz w:val="24"/>
          <w:szCs w:val="24"/>
        </w:rPr>
        <w:t>elect investment option</w:t>
      </w:r>
      <w:r>
        <w:rPr>
          <w:rFonts w:ascii="Times New Roman" w:hAnsi="Times New Roman"/>
          <w:color w:val="000000"/>
          <w:sz w:val="24"/>
          <w:szCs w:val="24"/>
        </w:rPr>
        <w:t xml:space="preserve">. </w:t>
      </w:r>
    </w:p>
    <w:p w:rsidR="002C50E6" w:rsidRPr="002C50E6" w:rsidRDefault="002C50E6" w:rsidP="00F4321B">
      <w:pPr>
        <w:spacing w:after="240"/>
        <w:jc w:val="both"/>
        <w:rPr>
          <w:rFonts w:ascii="Times New Roman" w:hAnsi="Times New Roman"/>
          <w:color w:val="000000"/>
          <w:sz w:val="24"/>
          <w:szCs w:val="24"/>
        </w:rPr>
      </w:pPr>
      <w:r w:rsidRPr="002C50E6">
        <w:rPr>
          <w:rFonts w:ascii="Times New Roman" w:hAnsi="Times New Roman"/>
          <w:b/>
          <w:color w:val="000000"/>
          <w:sz w:val="24"/>
          <w:szCs w:val="24"/>
        </w:rPr>
        <w:t>Reporting basis</w:t>
      </w:r>
      <w:r>
        <w:rPr>
          <w:rFonts w:ascii="Times New Roman" w:hAnsi="Times New Roman"/>
          <w:color w:val="000000"/>
          <w:sz w:val="24"/>
          <w:szCs w:val="24"/>
        </w:rPr>
        <w:t xml:space="preserve">: report </w:t>
      </w:r>
      <w:r w:rsidRPr="00F4321B">
        <w:rPr>
          <w:rFonts w:ascii="Times New Roman" w:hAnsi="Times New Roman"/>
          <w:color w:val="000000" w:themeColor="text1"/>
          <w:sz w:val="24"/>
          <w:szCs w:val="24"/>
        </w:rPr>
        <w:t xml:space="preserve">item 2 as at </w:t>
      </w:r>
      <w:r w:rsidRPr="00F4321B">
        <w:rPr>
          <w:rFonts w:ascii="Times New Roman" w:hAnsi="Times New Roman"/>
          <w:color w:val="000000" w:themeColor="text1"/>
          <w:sz w:val="24"/>
        </w:rPr>
        <w:t>the</w:t>
      </w:r>
      <w:r w:rsidRPr="00F4321B">
        <w:rPr>
          <w:rFonts w:ascii="Times New Roman" w:hAnsi="Times New Roman"/>
          <w:color w:val="000000" w:themeColor="text1"/>
          <w:sz w:val="24"/>
          <w:szCs w:val="24"/>
        </w:rPr>
        <w:t xml:space="preserve"> end of the </w:t>
      </w:r>
      <w:r>
        <w:rPr>
          <w:rFonts w:ascii="Times New Roman" w:hAnsi="Times New Roman"/>
          <w:color w:val="000000"/>
          <w:sz w:val="24"/>
          <w:szCs w:val="24"/>
        </w:rPr>
        <w:t>reporting period.</w:t>
      </w:r>
    </w:p>
    <w:p w:rsidR="00EE76C0" w:rsidRDefault="00325ED8" w:rsidP="0081430D">
      <w:pPr>
        <w:spacing w:before="240" w:after="240"/>
        <w:jc w:val="both"/>
        <w:rPr>
          <w:rFonts w:ascii="Times New Roman" w:hAnsi="Times New Roman"/>
          <w:sz w:val="24"/>
          <w:szCs w:val="24"/>
        </w:rPr>
      </w:pPr>
      <w:r>
        <w:rPr>
          <w:rFonts w:ascii="Times New Roman" w:hAnsi="Times New Roman"/>
          <w:b/>
          <w:color w:val="000000"/>
          <w:sz w:val="24"/>
          <w:szCs w:val="24"/>
        </w:rPr>
        <w:t>Unit of measurement</w:t>
      </w:r>
      <w:r w:rsidR="0081430D">
        <w:rPr>
          <w:rFonts w:ascii="Times New Roman" w:hAnsi="Times New Roman"/>
          <w:color w:val="000000"/>
          <w:sz w:val="24"/>
          <w:szCs w:val="24"/>
        </w:rPr>
        <w:t xml:space="preserve">: report </w:t>
      </w:r>
      <w:r w:rsidR="006019DB">
        <w:rPr>
          <w:rFonts w:ascii="Times New Roman" w:hAnsi="Times New Roman"/>
          <w:color w:val="000000"/>
          <w:sz w:val="24"/>
          <w:szCs w:val="24"/>
        </w:rPr>
        <w:t xml:space="preserve">item 2 </w:t>
      </w:r>
      <w:r w:rsidR="00E34DF4">
        <w:rPr>
          <w:rFonts w:ascii="Times New Roman" w:hAnsi="Times New Roman"/>
          <w:color w:val="000000"/>
          <w:sz w:val="24"/>
          <w:szCs w:val="24"/>
        </w:rPr>
        <w:t>column 5</w:t>
      </w:r>
      <w:r w:rsidR="0051527D">
        <w:rPr>
          <w:rFonts w:ascii="Times New Roman" w:hAnsi="Times New Roman"/>
          <w:color w:val="000000"/>
          <w:sz w:val="24"/>
          <w:szCs w:val="24"/>
        </w:rPr>
        <w:t>,</w:t>
      </w:r>
      <w:r w:rsidR="0081430D">
        <w:rPr>
          <w:rFonts w:ascii="Times New Roman" w:hAnsi="Times New Roman"/>
          <w:color w:val="000000"/>
          <w:sz w:val="24"/>
          <w:szCs w:val="24"/>
        </w:rPr>
        <w:t xml:space="preserve"> </w:t>
      </w:r>
      <w:r w:rsidR="006019DB">
        <w:rPr>
          <w:rFonts w:ascii="Times New Roman" w:hAnsi="Times New Roman"/>
          <w:color w:val="000000"/>
          <w:sz w:val="24"/>
          <w:szCs w:val="24"/>
        </w:rPr>
        <w:t>item 2.1</w:t>
      </w:r>
      <w:r w:rsidR="0051527D">
        <w:rPr>
          <w:rFonts w:ascii="Times New Roman" w:hAnsi="Times New Roman"/>
          <w:color w:val="000000"/>
          <w:sz w:val="24"/>
          <w:szCs w:val="24"/>
        </w:rPr>
        <w:t xml:space="preserve"> and item 2.2</w:t>
      </w:r>
      <w:r w:rsidR="006019DB">
        <w:rPr>
          <w:rFonts w:ascii="Times New Roman" w:hAnsi="Times New Roman"/>
          <w:color w:val="000000"/>
          <w:sz w:val="24"/>
          <w:szCs w:val="24"/>
        </w:rPr>
        <w:t xml:space="preserve"> </w:t>
      </w:r>
      <w:r w:rsidR="0081430D">
        <w:rPr>
          <w:rFonts w:ascii="Times New Roman" w:hAnsi="Times New Roman"/>
          <w:color w:val="000000"/>
          <w:sz w:val="24"/>
          <w:szCs w:val="24"/>
        </w:rPr>
        <w:t xml:space="preserve">in thousands of dollars; report </w:t>
      </w:r>
      <w:r w:rsidR="006019DB">
        <w:rPr>
          <w:rFonts w:ascii="Times New Roman" w:hAnsi="Times New Roman"/>
          <w:color w:val="000000"/>
          <w:sz w:val="24"/>
          <w:szCs w:val="24"/>
        </w:rPr>
        <w:t xml:space="preserve">item 2 </w:t>
      </w:r>
      <w:r w:rsidR="00E34DF4">
        <w:rPr>
          <w:rFonts w:ascii="Times New Roman" w:hAnsi="Times New Roman"/>
          <w:color w:val="000000"/>
          <w:sz w:val="24"/>
          <w:szCs w:val="24"/>
        </w:rPr>
        <w:t>column 6</w:t>
      </w:r>
      <w:r w:rsidR="0081430D">
        <w:rPr>
          <w:rFonts w:ascii="Times New Roman" w:hAnsi="Times New Roman"/>
          <w:color w:val="000000"/>
          <w:sz w:val="24"/>
          <w:szCs w:val="24"/>
        </w:rPr>
        <w:t xml:space="preserve"> as a percentage.</w:t>
      </w:r>
      <w:r w:rsidR="0081430D" w:rsidRPr="00FB09D3">
        <w:rPr>
          <w:rFonts w:ascii="Times New Roman" w:hAnsi="Times New Roman"/>
          <w:sz w:val="24"/>
          <w:szCs w:val="24"/>
        </w:rPr>
        <w:t xml:space="preserve"> </w:t>
      </w:r>
    </w:p>
    <w:p w:rsidR="00FF047F" w:rsidRDefault="00172777" w:rsidP="0081430D">
      <w:pPr>
        <w:spacing w:before="240" w:after="240"/>
        <w:jc w:val="both"/>
        <w:rPr>
          <w:rFonts w:ascii="Times New Roman" w:hAnsi="Times New Roman"/>
          <w:sz w:val="24"/>
          <w:szCs w:val="24"/>
        </w:rPr>
      </w:pPr>
      <w:r w:rsidRPr="00172777">
        <w:rPr>
          <w:rFonts w:ascii="Times New Roman" w:hAnsi="Times New Roman"/>
          <w:b/>
          <w:sz w:val="24"/>
          <w:szCs w:val="24"/>
        </w:rPr>
        <w:lastRenderedPageBreak/>
        <w:t>Look through basis</w:t>
      </w:r>
      <w:r>
        <w:rPr>
          <w:rFonts w:ascii="Times New Roman" w:hAnsi="Times New Roman"/>
          <w:sz w:val="24"/>
          <w:szCs w:val="24"/>
        </w:rPr>
        <w:t xml:space="preserve">: </w:t>
      </w:r>
    </w:p>
    <w:p w:rsidR="00FF047F" w:rsidRDefault="00FF047F" w:rsidP="0081430D">
      <w:pPr>
        <w:spacing w:before="240" w:after="240"/>
        <w:jc w:val="both"/>
        <w:rPr>
          <w:rFonts w:ascii="Times New Roman" w:hAnsi="Times New Roman"/>
          <w:sz w:val="24"/>
          <w:szCs w:val="24"/>
        </w:rPr>
      </w:pPr>
      <w:r>
        <w:rPr>
          <w:rFonts w:ascii="Times New Roman" w:hAnsi="Times New Roman"/>
          <w:sz w:val="24"/>
          <w:szCs w:val="24"/>
        </w:rPr>
        <w:t xml:space="preserve">For directly held investments: report item 2 on a </w:t>
      </w:r>
      <w:r>
        <w:rPr>
          <w:rFonts w:ascii="Times New Roman" w:hAnsi="Times New Roman"/>
          <w:sz w:val="24"/>
          <w:szCs w:val="24"/>
        </w:rPr>
        <w:t>non</w:t>
      </w:r>
      <w:r w:rsidR="0051406B">
        <w:rPr>
          <w:rFonts w:ascii="Times New Roman" w:hAnsi="Times New Roman"/>
          <w:sz w:val="24"/>
          <w:szCs w:val="24"/>
        </w:rPr>
        <w:t>-</w:t>
      </w:r>
      <w:r>
        <w:rPr>
          <w:rFonts w:ascii="Times New Roman" w:hAnsi="Times New Roman"/>
          <w:sz w:val="24"/>
          <w:szCs w:val="24"/>
        </w:rPr>
        <w:t xml:space="preserve">look </w:t>
      </w:r>
      <w:r>
        <w:rPr>
          <w:rFonts w:ascii="Times New Roman" w:hAnsi="Times New Roman"/>
          <w:sz w:val="24"/>
          <w:szCs w:val="24"/>
        </w:rPr>
        <w:t>through basis.</w:t>
      </w:r>
    </w:p>
    <w:p w:rsidR="00FF047F" w:rsidRDefault="00FF047F" w:rsidP="0081430D">
      <w:pPr>
        <w:spacing w:before="240" w:after="240"/>
        <w:jc w:val="both"/>
        <w:rPr>
          <w:rFonts w:ascii="Times New Roman" w:hAnsi="Times New Roman"/>
          <w:sz w:val="24"/>
          <w:szCs w:val="24"/>
        </w:rPr>
      </w:pPr>
      <w:r>
        <w:rPr>
          <w:rFonts w:ascii="Times New Roman" w:hAnsi="Times New Roman"/>
          <w:sz w:val="24"/>
          <w:szCs w:val="24"/>
        </w:rPr>
        <w:t>For indirectly held investments: report item 2 on a look th</w:t>
      </w:r>
      <w:bookmarkStart w:id="8" w:name="_GoBack"/>
      <w:bookmarkEnd w:id="8"/>
      <w:r>
        <w:rPr>
          <w:rFonts w:ascii="Times New Roman" w:hAnsi="Times New Roman"/>
          <w:sz w:val="24"/>
          <w:szCs w:val="24"/>
        </w:rPr>
        <w:t>ough</w:t>
      </w:r>
      <w:r w:rsidR="0006282C">
        <w:rPr>
          <w:rFonts w:ascii="Times New Roman" w:hAnsi="Times New Roman"/>
          <w:sz w:val="24"/>
          <w:szCs w:val="24"/>
        </w:rPr>
        <w:t xml:space="preserve"> basis.</w:t>
      </w:r>
    </w:p>
    <w:p w:rsidR="00172777" w:rsidRDefault="00F56917" w:rsidP="0081430D">
      <w:pPr>
        <w:spacing w:before="240" w:after="240"/>
        <w:jc w:val="both"/>
        <w:rPr>
          <w:rFonts w:ascii="Times New Roman" w:hAnsi="Times New Roman"/>
          <w:sz w:val="24"/>
          <w:szCs w:val="24"/>
        </w:rPr>
      </w:pPr>
      <w:r>
        <w:rPr>
          <w:rFonts w:ascii="Times New Roman" w:hAnsi="Times New Roman"/>
          <w:sz w:val="24"/>
          <w:szCs w:val="24"/>
        </w:rPr>
        <w:t>When reporting on a look through basis</w:t>
      </w:r>
      <w:r w:rsidR="0006282C">
        <w:rPr>
          <w:rFonts w:ascii="Times New Roman" w:hAnsi="Times New Roman"/>
          <w:sz w:val="24"/>
          <w:szCs w:val="24"/>
        </w:rPr>
        <w:t>,</w:t>
      </w:r>
      <w:r>
        <w:rPr>
          <w:rFonts w:ascii="Times New Roman" w:hAnsi="Times New Roman"/>
          <w:sz w:val="24"/>
          <w:szCs w:val="24"/>
        </w:rPr>
        <w:t xml:space="preserve"> information </w:t>
      </w:r>
      <w:r w:rsidR="00172777" w:rsidRPr="00501F2F">
        <w:rPr>
          <w:rFonts w:ascii="Times New Roman" w:hAnsi="Times New Roman"/>
          <w:sz w:val="24"/>
          <w:szCs w:val="24"/>
        </w:rPr>
        <w:t>about the underlying investments in an investment vehicle must be reported.</w:t>
      </w:r>
      <w:r w:rsidR="00757633">
        <w:rPr>
          <w:rFonts w:ascii="Times New Roman" w:hAnsi="Times New Roman"/>
          <w:sz w:val="24"/>
          <w:szCs w:val="24"/>
        </w:rPr>
        <w:t xml:space="preserve"> </w:t>
      </w:r>
      <w:r w:rsidR="00757633" w:rsidRPr="00E65A30">
        <w:rPr>
          <w:rFonts w:ascii="Times New Roman" w:hAnsi="Times New Roman"/>
          <w:sz w:val="24"/>
          <w:szCs w:val="24"/>
        </w:rPr>
        <w:t xml:space="preserve">Investments in investment vehicles must be allocated to each </w:t>
      </w:r>
      <w:r w:rsidR="00757633">
        <w:rPr>
          <w:rFonts w:ascii="Times New Roman" w:hAnsi="Times New Roman"/>
          <w:sz w:val="24"/>
          <w:szCs w:val="24"/>
        </w:rPr>
        <w:t xml:space="preserve">combination of </w:t>
      </w:r>
      <w:r w:rsidR="00757633" w:rsidRPr="00E65A30">
        <w:rPr>
          <w:rFonts w:ascii="Times New Roman" w:hAnsi="Times New Roman"/>
          <w:sz w:val="24"/>
          <w:szCs w:val="24"/>
        </w:rPr>
        <w:t>asset class</w:t>
      </w:r>
      <w:r w:rsidR="00757633">
        <w:rPr>
          <w:rFonts w:ascii="Times New Roman" w:hAnsi="Times New Roman"/>
          <w:sz w:val="24"/>
          <w:szCs w:val="24"/>
        </w:rPr>
        <w:t xml:space="preserve"> type, asset domicile type and asset listing type </w:t>
      </w:r>
      <w:r w:rsidR="00757633" w:rsidRPr="00E65A30">
        <w:rPr>
          <w:rFonts w:ascii="Times New Roman" w:hAnsi="Times New Roman"/>
          <w:sz w:val="24"/>
          <w:szCs w:val="24"/>
        </w:rPr>
        <w:t>represented in the underlying investment</w:t>
      </w:r>
      <w:r w:rsidR="00757633">
        <w:rPr>
          <w:rFonts w:ascii="Times New Roman" w:hAnsi="Times New Roman"/>
          <w:sz w:val="24"/>
          <w:szCs w:val="24"/>
        </w:rPr>
        <w:t>s</w:t>
      </w:r>
      <w:r w:rsidR="00757633" w:rsidRPr="00E65A30">
        <w:rPr>
          <w:rFonts w:ascii="Times New Roman" w:hAnsi="Times New Roman"/>
          <w:sz w:val="24"/>
          <w:szCs w:val="24"/>
        </w:rPr>
        <w:t>.</w:t>
      </w:r>
    </w:p>
    <w:p w:rsidR="00757633" w:rsidRDefault="00757633" w:rsidP="00757633">
      <w:pPr>
        <w:spacing w:before="240" w:after="240"/>
        <w:jc w:val="both"/>
        <w:rPr>
          <w:rFonts w:ascii="Times New Roman" w:hAnsi="Times New Roman"/>
          <w:i/>
          <w:sz w:val="24"/>
          <w:szCs w:val="24"/>
        </w:rPr>
      </w:pPr>
      <w:r w:rsidRPr="009A4678">
        <w:rPr>
          <w:rFonts w:ascii="Times New Roman" w:hAnsi="Times New Roman"/>
          <w:i/>
          <w:sz w:val="24"/>
          <w:szCs w:val="24"/>
        </w:rPr>
        <w:t>For example, for international equities and Australian fixed income held in the same Australian trust, report the asset class as ‘equities’ and the asset domicile type as ‘international’ for the international equities, and report the asset class as ‘fixed income’ and the asset domicile type as ‘Australia domicile’</w:t>
      </w:r>
      <w:r>
        <w:rPr>
          <w:rFonts w:ascii="Times New Roman" w:hAnsi="Times New Roman"/>
          <w:i/>
          <w:sz w:val="24"/>
          <w:szCs w:val="24"/>
        </w:rPr>
        <w:t xml:space="preserve"> for the Australian fixed income investment</w:t>
      </w:r>
      <w:r w:rsidRPr="009A4678">
        <w:rPr>
          <w:rFonts w:ascii="Times New Roman" w:hAnsi="Times New Roman"/>
          <w:i/>
          <w:sz w:val="24"/>
          <w:szCs w:val="24"/>
        </w:rPr>
        <w:t>.</w:t>
      </w:r>
    </w:p>
    <w:p w:rsidR="00383EAA" w:rsidRPr="0069563E" w:rsidRDefault="00383EAA" w:rsidP="00383EAA">
      <w:pPr>
        <w:spacing w:after="240"/>
        <w:jc w:val="both"/>
        <w:rPr>
          <w:rFonts w:ascii="Times New Roman" w:hAnsi="Times New Roman"/>
          <w:sz w:val="24"/>
          <w:szCs w:val="24"/>
        </w:rPr>
      </w:pPr>
      <w:r w:rsidRPr="0069563E">
        <w:rPr>
          <w:rFonts w:ascii="Times New Roman" w:hAnsi="Times New Roman"/>
          <w:sz w:val="24"/>
          <w:szCs w:val="24"/>
        </w:rPr>
        <w:t>When reporting the relevant asset class of investments on a look-through basis, an RSE licensee must seek information about the actual holdings of the first non-</w:t>
      </w:r>
      <w:r w:rsidR="008F31E0">
        <w:rPr>
          <w:rFonts w:ascii="Times New Roman" w:hAnsi="Times New Roman"/>
          <w:sz w:val="24"/>
          <w:szCs w:val="24"/>
        </w:rPr>
        <w:t>connec</w:t>
      </w:r>
      <w:r w:rsidR="008F31E0" w:rsidRPr="0069563E">
        <w:rPr>
          <w:rFonts w:ascii="Times New Roman" w:hAnsi="Times New Roman"/>
          <w:sz w:val="24"/>
          <w:szCs w:val="24"/>
        </w:rPr>
        <w:t xml:space="preserve">ted </w:t>
      </w:r>
      <w:r w:rsidRPr="0069563E">
        <w:rPr>
          <w:rFonts w:ascii="Times New Roman" w:hAnsi="Times New Roman"/>
          <w:sz w:val="24"/>
          <w:szCs w:val="24"/>
        </w:rPr>
        <w:t xml:space="preserve">entity and identify the asset class(es) of these holdings. For example, the cash position in an equity portfolio  </w:t>
      </w:r>
      <w:r w:rsidR="00C608D3">
        <w:rPr>
          <w:rFonts w:ascii="Times New Roman" w:hAnsi="Times New Roman"/>
          <w:sz w:val="24"/>
          <w:szCs w:val="24"/>
        </w:rPr>
        <w:t xml:space="preserve">must </w:t>
      </w:r>
      <w:r w:rsidRPr="0069563E">
        <w:rPr>
          <w:rFonts w:ascii="Times New Roman" w:hAnsi="Times New Roman"/>
          <w:sz w:val="24"/>
          <w:szCs w:val="24"/>
        </w:rPr>
        <w:t xml:space="preserve">be reported as cash. </w:t>
      </w:r>
    </w:p>
    <w:p w:rsidR="00383EAA" w:rsidRPr="00501F2F" w:rsidRDefault="00383EAA" w:rsidP="00383EAA">
      <w:pPr>
        <w:spacing w:after="240"/>
        <w:jc w:val="both"/>
        <w:rPr>
          <w:rFonts w:ascii="Times New Roman" w:hAnsi="Times New Roman"/>
          <w:sz w:val="24"/>
          <w:szCs w:val="24"/>
        </w:rPr>
      </w:pPr>
      <w:r w:rsidRPr="0069563E">
        <w:rPr>
          <w:rFonts w:ascii="Times New Roman" w:hAnsi="Times New Roman"/>
          <w:sz w:val="24"/>
          <w:szCs w:val="24"/>
        </w:rPr>
        <w:t xml:space="preserve">As look-through reporting is not required for hedge fund investments, the information reported need only cover the investments held by the RSE. Hedge fund investments must be reported in the asset class </w:t>
      </w:r>
      <w:r w:rsidRPr="0028210F">
        <w:rPr>
          <w:rFonts w:ascii="Times New Roman" w:hAnsi="Times New Roman"/>
          <w:b/>
          <w:i/>
          <w:sz w:val="24"/>
          <w:szCs w:val="24"/>
        </w:rPr>
        <w:t>other</w:t>
      </w:r>
      <w:r w:rsidRPr="0069563E">
        <w:rPr>
          <w:rFonts w:ascii="Times New Roman" w:hAnsi="Times New Roman"/>
          <w:sz w:val="24"/>
          <w:szCs w:val="24"/>
        </w:rPr>
        <w:t>.</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0"/>
      </w:tblGrid>
      <w:tr w:rsidR="00050E15" w:rsidRPr="00CF07C1" w:rsidTr="003A0B11">
        <w:tc>
          <w:tcPr>
            <w:tcW w:w="1701" w:type="dxa"/>
          </w:tcPr>
          <w:p w:rsidR="00050E15" w:rsidRPr="002712FD" w:rsidRDefault="00050E15" w:rsidP="003A0B11">
            <w:pPr>
              <w:spacing w:before="120" w:after="120"/>
              <w:rPr>
                <w:rFonts w:ascii="Times New Roman" w:hAnsi="Times New Roman"/>
                <w:b/>
                <w:sz w:val="24"/>
                <w:szCs w:val="24"/>
              </w:rPr>
            </w:pPr>
            <w:r w:rsidRPr="002712FD">
              <w:rPr>
                <w:rFonts w:ascii="Times New Roman" w:hAnsi="Times New Roman"/>
                <w:b/>
                <w:sz w:val="24"/>
                <w:szCs w:val="24"/>
              </w:rPr>
              <w:t>Item 2</w:t>
            </w:r>
          </w:p>
        </w:tc>
        <w:tc>
          <w:tcPr>
            <w:tcW w:w="7370" w:type="dxa"/>
          </w:tcPr>
          <w:p w:rsidR="00CB235F" w:rsidRPr="005752FE" w:rsidRDefault="00CB235F" w:rsidP="0081430D">
            <w:pPr>
              <w:spacing w:before="120" w:after="120"/>
              <w:jc w:val="both"/>
              <w:rPr>
                <w:rFonts w:ascii="Times New Roman" w:hAnsi="Times New Roman"/>
                <w:sz w:val="24"/>
                <w:szCs w:val="24"/>
              </w:rPr>
            </w:pPr>
            <w:r w:rsidRPr="00383EAA">
              <w:rPr>
                <w:rFonts w:ascii="Times New Roman" w:hAnsi="Times New Roman"/>
                <w:sz w:val="24"/>
                <w:szCs w:val="24"/>
              </w:rPr>
              <w:t>When reporting item 2</w:t>
            </w:r>
            <w:r w:rsidRPr="00747C50">
              <w:rPr>
                <w:rFonts w:ascii="Times New Roman" w:hAnsi="Times New Roman"/>
                <w:sz w:val="24"/>
                <w:szCs w:val="24"/>
              </w:rPr>
              <w:t xml:space="preserve">, report the value of investments in </w:t>
            </w:r>
            <w:r w:rsidR="00E34DF4">
              <w:rPr>
                <w:rFonts w:ascii="Times New Roman" w:hAnsi="Times New Roman"/>
                <w:sz w:val="24"/>
                <w:szCs w:val="24"/>
              </w:rPr>
              <w:t>column 5</w:t>
            </w:r>
            <w:r w:rsidRPr="00747C50">
              <w:rPr>
                <w:rFonts w:ascii="Times New Roman" w:hAnsi="Times New Roman"/>
                <w:sz w:val="24"/>
                <w:szCs w:val="24"/>
              </w:rPr>
              <w:t xml:space="preserve"> in relation to the valu</w:t>
            </w:r>
            <w:r w:rsidRPr="005752FE">
              <w:rPr>
                <w:rFonts w:ascii="Times New Roman" w:hAnsi="Times New Roman"/>
                <w:sz w:val="24"/>
                <w:szCs w:val="24"/>
              </w:rPr>
              <w:t xml:space="preserve">e of investments underlying </w:t>
            </w:r>
            <w:r w:rsidR="00D56520">
              <w:rPr>
                <w:rFonts w:ascii="Times New Roman" w:hAnsi="Times New Roman"/>
                <w:sz w:val="24"/>
                <w:szCs w:val="24"/>
              </w:rPr>
              <w:t>the select investment option</w:t>
            </w:r>
            <w:r w:rsidRPr="005752FE">
              <w:rPr>
                <w:rFonts w:ascii="Times New Roman" w:hAnsi="Times New Roman"/>
                <w:sz w:val="24"/>
                <w:szCs w:val="24"/>
              </w:rPr>
              <w:t>.</w:t>
            </w:r>
          </w:p>
          <w:p w:rsidR="0081430D" w:rsidRDefault="0081430D" w:rsidP="0081430D">
            <w:pPr>
              <w:spacing w:before="120" w:after="120"/>
              <w:jc w:val="both"/>
              <w:rPr>
                <w:rFonts w:ascii="Times New Roman" w:hAnsi="Times New Roman"/>
                <w:sz w:val="24"/>
                <w:szCs w:val="24"/>
              </w:rPr>
            </w:pPr>
            <w:r w:rsidRPr="00F4321B">
              <w:rPr>
                <w:rFonts w:ascii="Times New Roman" w:hAnsi="Times New Roman"/>
                <w:sz w:val="24"/>
                <w:szCs w:val="24"/>
              </w:rPr>
              <w:t xml:space="preserve">Report, for each combination of asset class type, </w:t>
            </w:r>
            <w:r w:rsidR="00DE4923" w:rsidRPr="00F4321B">
              <w:rPr>
                <w:rFonts w:ascii="Times New Roman" w:hAnsi="Times New Roman"/>
                <w:sz w:val="24"/>
                <w:szCs w:val="24"/>
              </w:rPr>
              <w:t xml:space="preserve">asset </w:t>
            </w:r>
            <w:r w:rsidRPr="00F4321B">
              <w:rPr>
                <w:rFonts w:ascii="Times New Roman" w:hAnsi="Times New Roman"/>
                <w:sz w:val="24"/>
                <w:szCs w:val="24"/>
              </w:rPr>
              <w:t xml:space="preserve">domicile type, </w:t>
            </w:r>
            <w:r w:rsidR="00DE4923" w:rsidRPr="00F4321B">
              <w:rPr>
                <w:rFonts w:ascii="Times New Roman" w:hAnsi="Times New Roman"/>
                <w:sz w:val="24"/>
                <w:szCs w:val="24"/>
              </w:rPr>
              <w:t xml:space="preserve">asset </w:t>
            </w:r>
            <w:r w:rsidRPr="00F4321B">
              <w:rPr>
                <w:rFonts w:ascii="Times New Roman" w:hAnsi="Times New Roman"/>
                <w:sz w:val="24"/>
                <w:szCs w:val="24"/>
              </w:rPr>
              <w:t>listing type</w:t>
            </w:r>
            <w:r w:rsidR="00D56520">
              <w:rPr>
                <w:rFonts w:ascii="Times New Roman" w:hAnsi="Times New Roman"/>
                <w:sz w:val="24"/>
                <w:szCs w:val="24"/>
              </w:rPr>
              <w:t xml:space="preserve"> and</w:t>
            </w:r>
            <w:r w:rsidRPr="00F4321B">
              <w:rPr>
                <w:rFonts w:ascii="Times New Roman" w:hAnsi="Times New Roman"/>
                <w:sz w:val="24"/>
                <w:szCs w:val="24"/>
              </w:rPr>
              <w:t xml:space="preserve"> fixed income type: the asset class type in column 1, the </w:t>
            </w:r>
            <w:r w:rsidR="00172777" w:rsidRPr="00F4321B">
              <w:rPr>
                <w:rFonts w:ascii="Times New Roman" w:hAnsi="Times New Roman"/>
                <w:sz w:val="24"/>
                <w:szCs w:val="24"/>
              </w:rPr>
              <w:t xml:space="preserve">asset </w:t>
            </w:r>
            <w:r w:rsidRPr="00F4321B">
              <w:rPr>
                <w:rFonts w:ascii="Times New Roman" w:hAnsi="Times New Roman"/>
                <w:sz w:val="24"/>
                <w:szCs w:val="24"/>
              </w:rPr>
              <w:t xml:space="preserve">domicile type in column 2, the </w:t>
            </w:r>
            <w:r w:rsidR="00172777" w:rsidRPr="00F4321B">
              <w:rPr>
                <w:rFonts w:ascii="Times New Roman" w:hAnsi="Times New Roman"/>
                <w:sz w:val="24"/>
                <w:szCs w:val="24"/>
              </w:rPr>
              <w:t xml:space="preserve">asset </w:t>
            </w:r>
            <w:r w:rsidRPr="00F4321B">
              <w:rPr>
                <w:rFonts w:ascii="Times New Roman" w:hAnsi="Times New Roman"/>
                <w:sz w:val="24"/>
                <w:szCs w:val="24"/>
              </w:rPr>
              <w:t xml:space="preserve">listing type in column </w:t>
            </w:r>
            <w:r w:rsidR="006019DB" w:rsidRPr="00F4321B">
              <w:rPr>
                <w:rFonts w:ascii="Times New Roman" w:hAnsi="Times New Roman"/>
                <w:sz w:val="24"/>
                <w:szCs w:val="24"/>
              </w:rPr>
              <w:t>3</w:t>
            </w:r>
            <w:r w:rsidRPr="00F4321B">
              <w:rPr>
                <w:rFonts w:ascii="Times New Roman" w:hAnsi="Times New Roman"/>
                <w:sz w:val="24"/>
                <w:szCs w:val="24"/>
              </w:rPr>
              <w:t xml:space="preserve">, the fixed income type in column </w:t>
            </w:r>
            <w:r w:rsidR="006019DB" w:rsidRPr="00F4321B">
              <w:rPr>
                <w:rFonts w:ascii="Times New Roman" w:hAnsi="Times New Roman"/>
                <w:sz w:val="24"/>
                <w:szCs w:val="24"/>
              </w:rPr>
              <w:t>4</w:t>
            </w:r>
            <w:r w:rsidRPr="00F4321B">
              <w:rPr>
                <w:rFonts w:ascii="Times New Roman" w:hAnsi="Times New Roman"/>
                <w:sz w:val="24"/>
                <w:szCs w:val="24"/>
              </w:rPr>
              <w:t xml:space="preserve">, the value of the investment in </w:t>
            </w:r>
            <w:r w:rsidR="00E34DF4">
              <w:rPr>
                <w:rFonts w:ascii="Times New Roman" w:hAnsi="Times New Roman"/>
                <w:sz w:val="24"/>
                <w:szCs w:val="24"/>
              </w:rPr>
              <w:t>column 5</w:t>
            </w:r>
            <w:r w:rsidR="00476587" w:rsidRPr="00F4321B">
              <w:rPr>
                <w:rFonts w:ascii="Times New Roman" w:hAnsi="Times New Roman"/>
                <w:sz w:val="24"/>
                <w:szCs w:val="24"/>
              </w:rPr>
              <w:t xml:space="preserve"> and the </w:t>
            </w:r>
            <w:r w:rsidR="00757633">
              <w:rPr>
                <w:rFonts w:ascii="Times New Roman" w:hAnsi="Times New Roman"/>
                <w:b/>
                <w:i/>
                <w:sz w:val="24"/>
                <w:szCs w:val="24"/>
              </w:rPr>
              <w:t>currency hedged</w:t>
            </w:r>
            <w:r w:rsidR="00476587" w:rsidRPr="00757633">
              <w:rPr>
                <w:rFonts w:ascii="Times New Roman" w:hAnsi="Times New Roman"/>
                <w:sz w:val="24"/>
                <w:szCs w:val="24"/>
              </w:rPr>
              <w:t xml:space="preserve"> in </w:t>
            </w:r>
            <w:r w:rsidR="00E34DF4">
              <w:rPr>
                <w:rFonts w:ascii="Times New Roman" w:hAnsi="Times New Roman"/>
                <w:sz w:val="24"/>
                <w:szCs w:val="24"/>
              </w:rPr>
              <w:t>column 6</w:t>
            </w:r>
            <w:r w:rsidR="00207344" w:rsidRPr="00757633">
              <w:rPr>
                <w:rFonts w:ascii="Times New Roman" w:hAnsi="Times New Roman"/>
                <w:sz w:val="24"/>
                <w:szCs w:val="24"/>
              </w:rPr>
              <w:t xml:space="preserve">. Where </w:t>
            </w:r>
            <w:r w:rsidR="00DE4923" w:rsidRPr="00757633">
              <w:rPr>
                <w:rFonts w:ascii="Times New Roman" w:hAnsi="Times New Roman"/>
                <w:sz w:val="24"/>
                <w:szCs w:val="24"/>
              </w:rPr>
              <w:t xml:space="preserve">asset </w:t>
            </w:r>
            <w:r w:rsidR="00207344" w:rsidRPr="00757633">
              <w:rPr>
                <w:rFonts w:ascii="Times New Roman" w:hAnsi="Times New Roman"/>
                <w:sz w:val="24"/>
                <w:szCs w:val="24"/>
              </w:rPr>
              <w:t>domicile type ‘international’ is reported in column 2,</w:t>
            </w:r>
            <w:r w:rsidRPr="00757633">
              <w:rPr>
                <w:rFonts w:ascii="Times New Roman" w:hAnsi="Times New Roman"/>
                <w:sz w:val="24"/>
                <w:szCs w:val="24"/>
              </w:rPr>
              <w:t xml:space="preserve"> </w:t>
            </w:r>
            <w:r w:rsidR="00207344" w:rsidRPr="00757633">
              <w:rPr>
                <w:rFonts w:ascii="Times New Roman" w:hAnsi="Times New Roman"/>
                <w:sz w:val="24"/>
                <w:szCs w:val="24"/>
              </w:rPr>
              <w:t xml:space="preserve">report </w:t>
            </w:r>
            <w:r w:rsidRPr="00757633">
              <w:rPr>
                <w:rFonts w:ascii="Times New Roman" w:hAnsi="Times New Roman"/>
                <w:sz w:val="24"/>
                <w:szCs w:val="24"/>
              </w:rPr>
              <w:t xml:space="preserve">the </w:t>
            </w:r>
            <w:r w:rsidR="00747C50">
              <w:rPr>
                <w:rFonts w:ascii="Times New Roman" w:hAnsi="Times New Roman"/>
                <w:b/>
                <w:i/>
                <w:sz w:val="24"/>
                <w:szCs w:val="24"/>
              </w:rPr>
              <w:t xml:space="preserve">currency </w:t>
            </w:r>
            <w:r w:rsidRPr="00757633">
              <w:rPr>
                <w:rFonts w:ascii="Times New Roman" w:hAnsi="Times New Roman"/>
                <w:b/>
                <w:i/>
                <w:sz w:val="24"/>
                <w:szCs w:val="24"/>
              </w:rPr>
              <w:t>hedg</w:t>
            </w:r>
            <w:r w:rsidR="00747C50">
              <w:rPr>
                <w:rFonts w:ascii="Times New Roman" w:hAnsi="Times New Roman"/>
                <w:b/>
                <w:i/>
                <w:sz w:val="24"/>
                <w:szCs w:val="24"/>
              </w:rPr>
              <w:t>ed</w:t>
            </w:r>
            <w:r w:rsidRPr="00757633">
              <w:rPr>
                <w:rFonts w:ascii="Times New Roman" w:hAnsi="Times New Roman"/>
                <w:sz w:val="24"/>
                <w:szCs w:val="24"/>
              </w:rPr>
              <w:t xml:space="preserve"> in </w:t>
            </w:r>
            <w:r w:rsidR="00E34DF4">
              <w:rPr>
                <w:rFonts w:ascii="Times New Roman" w:hAnsi="Times New Roman"/>
                <w:sz w:val="24"/>
                <w:szCs w:val="24"/>
              </w:rPr>
              <w:t>column 6</w:t>
            </w:r>
            <w:r w:rsidR="00207344" w:rsidRPr="00747C50">
              <w:rPr>
                <w:rFonts w:ascii="Times New Roman" w:hAnsi="Times New Roman"/>
                <w:sz w:val="24"/>
                <w:szCs w:val="24"/>
              </w:rPr>
              <w:t>; otherwise</w:t>
            </w:r>
            <w:r w:rsidR="00325ED8" w:rsidRPr="00747C50">
              <w:rPr>
                <w:rFonts w:ascii="Times New Roman" w:hAnsi="Times New Roman"/>
                <w:sz w:val="24"/>
                <w:szCs w:val="24"/>
              </w:rPr>
              <w:t>,</w:t>
            </w:r>
            <w:r w:rsidR="00207344" w:rsidRPr="00747C50">
              <w:rPr>
                <w:rFonts w:ascii="Times New Roman" w:hAnsi="Times New Roman"/>
                <w:sz w:val="24"/>
                <w:szCs w:val="24"/>
              </w:rPr>
              <w:t xml:space="preserve"> leave </w:t>
            </w:r>
            <w:r w:rsidR="00E34DF4">
              <w:rPr>
                <w:rFonts w:ascii="Times New Roman" w:hAnsi="Times New Roman"/>
                <w:sz w:val="24"/>
                <w:szCs w:val="24"/>
              </w:rPr>
              <w:t>column 6</w:t>
            </w:r>
            <w:r w:rsidR="00207344" w:rsidRPr="00747C50">
              <w:rPr>
                <w:rFonts w:ascii="Times New Roman" w:hAnsi="Times New Roman"/>
                <w:sz w:val="24"/>
                <w:szCs w:val="24"/>
              </w:rPr>
              <w:t xml:space="preserve"> blank</w:t>
            </w:r>
            <w:r w:rsidRPr="00747C50">
              <w:rPr>
                <w:rFonts w:ascii="Times New Roman" w:hAnsi="Times New Roman"/>
                <w:sz w:val="24"/>
                <w:szCs w:val="24"/>
              </w:rPr>
              <w:t xml:space="preserve">. </w:t>
            </w:r>
          </w:p>
          <w:p w:rsidR="00757633" w:rsidRPr="0013425A" w:rsidRDefault="00757633" w:rsidP="00757633">
            <w:pPr>
              <w:spacing w:before="120" w:after="120"/>
              <w:jc w:val="both"/>
              <w:rPr>
                <w:rFonts w:ascii="Times New Roman" w:hAnsi="Times New Roman"/>
                <w:sz w:val="24"/>
                <w:szCs w:val="24"/>
              </w:rPr>
            </w:pPr>
            <w:r w:rsidRPr="0013425A">
              <w:rPr>
                <w:rFonts w:ascii="Times New Roman" w:hAnsi="Times New Roman"/>
                <w:sz w:val="24"/>
                <w:szCs w:val="24"/>
              </w:rPr>
              <w:t>When reporting indirectly held investments</w:t>
            </w:r>
            <w:r>
              <w:rPr>
                <w:rFonts w:ascii="Times New Roman" w:hAnsi="Times New Roman"/>
                <w:sz w:val="24"/>
                <w:szCs w:val="24"/>
              </w:rPr>
              <w:t>,</w:t>
            </w:r>
            <w:r w:rsidRPr="0013425A">
              <w:rPr>
                <w:rFonts w:ascii="Times New Roman" w:hAnsi="Times New Roman"/>
                <w:sz w:val="24"/>
                <w:szCs w:val="24"/>
              </w:rPr>
              <w:t xml:space="preserve"> apportion the value of the market exposure of any derivative contracts within the indirectly held investment to the asset class type(s) to which the derivatives relate. The apportionment will enable the net asset value of the indirectly held investment to be reported in item </w:t>
            </w:r>
            <w:r>
              <w:rPr>
                <w:rFonts w:ascii="Times New Roman" w:hAnsi="Times New Roman"/>
                <w:sz w:val="24"/>
                <w:szCs w:val="24"/>
              </w:rPr>
              <w:t xml:space="preserve">2, </w:t>
            </w:r>
            <w:r w:rsidR="00E34DF4">
              <w:rPr>
                <w:rFonts w:ascii="Times New Roman" w:hAnsi="Times New Roman"/>
                <w:sz w:val="24"/>
                <w:szCs w:val="24"/>
              </w:rPr>
              <w:t>column 5</w:t>
            </w:r>
            <w:r w:rsidRPr="0013425A">
              <w:rPr>
                <w:rFonts w:ascii="Times New Roman" w:hAnsi="Times New Roman"/>
                <w:sz w:val="24"/>
                <w:szCs w:val="24"/>
              </w:rPr>
              <w:t>.</w:t>
            </w:r>
          </w:p>
          <w:p w:rsidR="00757633" w:rsidRPr="0013425A" w:rsidRDefault="00757633" w:rsidP="00757633">
            <w:pPr>
              <w:spacing w:before="120" w:after="120"/>
              <w:jc w:val="both"/>
              <w:rPr>
                <w:rFonts w:ascii="Times New Roman" w:hAnsi="Times New Roman"/>
                <w:sz w:val="24"/>
                <w:szCs w:val="24"/>
              </w:rPr>
            </w:pPr>
            <w:r w:rsidRPr="0013425A">
              <w:rPr>
                <w:rFonts w:ascii="Times New Roman" w:hAnsi="Times New Roman"/>
                <w:sz w:val="24"/>
                <w:szCs w:val="24"/>
              </w:rPr>
              <w:t>If derivative contracts are used within an indirectly held investment to hedge currency exposure, report the percentage of the indirectly held investment’s net asset exposure that is currency hedged (refer to</w:t>
            </w:r>
            <w:r>
              <w:rPr>
                <w:rFonts w:ascii="Times New Roman" w:hAnsi="Times New Roman"/>
                <w:sz w:val="24"/>
                <w:szCs w:val="24"/>
              </w:rPr>
              <w:t xml:space="preserve"> item 2, </w:t>
            </w:r>
            <w:r w:rsidR="00E34DF4">
              <w:rPr>
                <w:rFonts w:ascii="Times New Roman" w:hAnsi="Times New Roman"/>
                <w:sz w:val="24"/>
                <w:szCs w:val="24"/>
              </w:rPr>
              <w:t>column 6</w:t>
            </w:r>
            <w:r w:rsidRPr="0013425A">
              <w:rPr>
                <w:rFonts w:ascii="Times New Roman" w:hAnsi="Times New Roman"/>
                <w:sz w:val="24"/>
                <w:szCs w:val="24"/>
              </w:rPr>
              <w:t xml:space="preserve">). </w:t>
            </w:r>
          </w:p>
          <w:p w:rsidR="00757633" w:rsidRDefault="00757633" w:rsidP="00757633">
            <w:pPr>
              <w:spacing w:before="120" w:after="120"/>
              <w:jc w:val="both"/>
              <w:rPr>
                <w:rFonts w:ascii="Times New Roman" w:hAnsi="Times New Roman"/>
                <w:sz w:val="24"/>
                <w:szCs w:val="24"/>
              </w:rPr>
            </w:pPr>
            <w:r>
              <w:rPr>
                <w:rFonts w:ascii="Times New Roman" w:hAnsi="Times New Roman"/>
                <w:sz w:val="24"/>
                <w:szCs w:val="24"/>
              </w:rPr>
              <w:t xml:space="preserve">The proportion of the investment which is </w:t>
            </w:r>
            <w:r w:rsidRPr="009A4678">
              <w:rPr>
                <w:rFonts w:ascii="Times New Roman" w:hAnsi="Times New Roman"/>
                <w:b/>
                <w:i/>
                <w:sz w:val="24"/>
                <w:szCs w:val="24"/>
              </w:rPr>
              <w:t>currency hedged</w:t>
            </w:r>
            <w:r>
              <w:rPr>
                <w:rFonts w:ascii="Times New Roman" w:hAnsi="Times New Roman"/>
                <w:sz w:val="24"/>
                <w:szCs w:val="24"/>
              </w:rPr>
              <w:t xml:space="preserve"> must</w:t>
            </w:r>
            <w:r w:rsidRPr="0013425A">
              <w:rPr>
                <w:rFonts w:ascii="Times New Roman" w:hAnsi="Times New Roman"/>
                <w:sz w:val="24"/>
                <w:szCs w:val="24"/>
              </w:rPr>
              <w:t xml:space="preserve"> be reported in item </w:t>
            </w:r>
            <w:r>
              <w:rPr>
                <w:rFonts w:ascii="Times New Roman" w:hAnsi="Times New Roman"/>
                <w:sz w:val="24"/>
                <w:szCs w:val="24"/>
              </w:rPr>
              <w:t>2,</w:t>
            </w:r>
            <w:r w:rsidRPr="0013425A">
              <w:rPr>
                <w:rFonts w:ascii="Times New Roman" w:hAnsi="Times New Roman"/>
                <w:sz w:val="24"/>
                <w:szCs w:val="24"/>
              </w:rPr>
              <w:t xml:space="preserve"> </w:t>
            </w:r>
            <w:r w:rsidR="00E34DF4">
              <w:rPr>
                <w:rFonts w:ascii="Times New Roman" w:hAnsi="Times New Roman"/>
                <w:sz w:val="24"/>
                <w:szCs w:val="24"/>
              </w:rPr>
              <w:t>column 6</w:t>
            </w:r>
            <w:r w:rsidRPr="0013425A">
              <w:rPr>
                <w:rFonts w:ascii="Times New Roman" w:hAnsi="Times New Roman"/>
                <w:sz w:val="24"/>
                <w:szCs w:val="24"/>
              </w:rPr>
              <w:t xml:space="preserve"> at the same level that </w:t>
            </w:r>
            <w:r>
              <w:rPr>
                <w:rFonts w:ascii="Times New Roman" w:hAnsi="Times New Roman"/>
                <w:sz w:val="24"/>
                <w:szCs w:val="24"/>
              </w:rPr>
              <w:t>it is</w:t>
            </w:r>
            <w:r w:rsidRPr="0013425A">
              <w:rPr>
                <w:rFonts w:ascii="Times New Roman" w:hAnsi="Times New Roman"/>
                <w:sz w:val="24"/>
                <w:szCs w:val="24"/>
              </w:rPr>
              <w:t xml:space="preserve"> implemented. If </w:t>
            </w:r>
            <w:r>
              <w:rPr>
                <w:rFonts w:ascii="Times New Roman" w:hAnsi="Times New Roman"/>
                <w:sz w:val="24"/>
                <w:szCs w:val="24"/>
              </w:rPr>
              <w:t>an RSE licensee</w:t>
            </w:r>
            <w:r w:rsidRPr="0013425A">
              <w:rPr>
                <w:rFonts w:ascii="Times New Roman" w:hAnsi="Times New Roman"/>
                <w:sz w:val="24"/>
                <w:szCs w:val="24"/>
              </w:rPr>
              <w:t xml:space="preserve"> implements currency hedging at an investment option level, the same percentage </w:t>
            </w:r>
            <w:r>
              <w:rPr>
                <w:rFonts w:ascii="Times New Roman" w:hAnsi="Times New Roman"/>
                <w:sz w:val="24"/>
                <w:szCs w:val="24"/>
              </w:rPr>
              <w:t>must</w:t>
            </w:r>
            <w:r w:rsidRPr="0013425A">
              <w:rPr>
                <w:rFonts w:ascii="Times New Roman" w:hAnsi="Times New Roman"/>
                <w:sz w:val="24"/>
                <w:szCs w:val="24"/>
              </w:rPr>
              <w:t xml:space="preserve"> be reported for all the international asset classes within the option. Likewise, for </w:t>
            </w:r>
            <w:r>
              <w:rPr>
                <w:rFonts w:ascii="Times New Roman" w:hAnsi="Times New Roman"/>
                <w:sz w:val="24"/>
                <w:szCs w:val="24"/>
              </w:rPr>
              <w:t>RSE licensees</w:t>
            </w:r>
            <w:r w:rsidRPr="0013425A">
              <w:rPr>
                <w:rFonts w:ascii="Times New Roman" w:hAnsi="Times New Roman"/>
                <w:sz w:val="24"/>
                <w:szCs w:val="24"/>
              </w:rPr>
              <w:t xml:space="preserve"> that implement currency </w:t>
            </w:r>
            <w:r w:rsidRPr="0013425A">
              <w:rPr>
                <w:rFonts w:ascii="Times New Roman" w:hAnsi="Times New Roman"/>
                <w:sz w:val="24"/>
                <w:szCs w:val="24"/>
              </w:rPr>
              <w:lastRenderedPageBreak/>
              <w:t xml:space="preserve">hedging at asset class level, reporting to APRA </w:t>
            </w:r>
            <w:r>
              <w:rPr>
                <w:rFonts w:ascii="Times New Roman" w:hAnsi="Times New Roman"/>
                <w:sz w:val="24"/>
                <w:szCs w:val="24"/>
              </w:rPr>
              <w:t xml:space="preserve">must </w:t>
            </w:r>
            <w:r w:rsidRPr="0013425A">
              <w:rPr>
                <w:rFonts w:ascii="Times New Roman" w:hAnsi="Times New Roman"/>
                <w:sz w:val="24"/>
                <w:szCs w:val="24"/>
              </w:rPr>
              <w:t xml:space="preserve">reflect </w:t>
            </w:r>
            <w:r>
              <w:rPr>
                <w:rFonts w:ascii="Times New Roman" w:hAnsi="Times New Roman"/>
                <w:sz w:val="24"/>
                <w:szCs w:val="24"/>
              </w:rPr>
              <w:t xml:space="preserve">currency </w:t>
            </w:r>
            <w:r w:rsidRPr="0013425A">
              <w:rPr>
                <w:rFonts w:ascii="Times New Roman" w:hAnsi="Times New Roman"/>
                <w:sz w:val="24"/>
                <w:szCs w:val="24"/>
              </w:rPr>
              <w:t>hedging for that particular asset class.</w:t>
            </w:r>
          </w:p>
          <w:p w:rsidR="00757633" w:rsidRDefault="0051527D" w:rsidP="00207344">
            <w:pPr>
              <w:spacing w:before="120" w:after="120"/>
              <w:jc w:val="both"/>
              <w:rPr>
                <w:rFonts w:ascii="Times New Roman" w:hAnsi="Times New Roman"/>
                <w:sz w:val="24"/>
                <w:szCs w:val="24"/>
              </w:rPr>
            </w:pPr>
            <w:r w:rsidRPr="00757633">
              <w:rPr>
                <w:rFonts w:ascii="Times New Roman" w:hAnsi="Times New Roman"/>
                <w:sz w:val="24"/>
                <w:szCs w:val="24"/>
              </w:rPr>
              <w:t xml:space="preserve">Item 2.1 is a derived item. </w:t>
            </w:r>
            <w:r w:rsidR="0081430D" w:rsidRPr="00757633">
              <w:rPr>
                <w:rFonts w:ascii="Times New Roman" w:hAnsi="Times New Roman"/>
                <w:sz w:val="24"/>
                <w:szCs w:val="24"/>
              </w:rPr>
              <w:t xml:space="preserve">Report the </w:t>
            </w:r>
            <w:r w:rsidR="00DE4923" w:rsidRPr="00757633">
              <w:rPr>
                <w:rFonts w:ascii="Times New Roman" w:hAnsi="Times New Roman"/>
                <w:sz w:val="24"/>
                <w:szCs w:val="24"/>
              </w:rPr>
              <w:t>sum of the</w:t>
            </w:r>
            <w:r w:rsidR="0081430D" w:rsidRPr="00757633">
              <w:rPr>
                <w:rFonts w:ascii="Times New Roman" w:hAnsi="Times New Roman"/>
                <w:sz w:val="24"/>
                <w:szCs w:val="24"/>
              </w:rPr>
              <w:t xml:space="preserve"> value</w:t>
            </w:r>
            <w:r w:rsidR="00DE4923" w:rsidRPr="00757633">
              <w:rPr>
                <w:rFonts w:ascii="Times New Roman" w:hAnsi="Times New Roman"/>
                <w:sz w:val="24"/>
                <w:szCs w:val="24"/>
              </w:rPr>
              <w:t>s</w:t>
            </w:r>
            <w:r w:rsidR="0081430D" w:rsidRPr="00757633">
              <w:rPr>
                <w:rFonts w:ascii="Times New Roman" w:hAnsi="Times New Roman"/>
                <w:sz w:val="24"/>
                <w:szCs w:val="24"/>
              </w:rPr>
              <w:t xml:space="preserve"> </w:t>
            </w:r>
            <w:r w:rsidRPr="00757633">
              <w:rPr>
                <w:rFonts w:ascii="Times New Roman" w:hAnsi="Times New Roman"/>
                <w:sz w:val="24"/>
                <w:szCs w:val="24"/>
              </w:rPr>
              <w:t xml:space="preserve">reported in item 2 </w:t>
            </w:r>
            <w:r w:rsidR="00E34DF4">
              <w:rPr>
                <w:rFonts w:ascii="Times New Roman" w:hAnsi="Times New Roman"/>
                <w:sz w:val="24"/>
                <w:szCs w:val="24"/>
              </w:rPr>
              <w:t>column 5</w:t>
            </w:r>
            <w:r w:rsidRPr="00757633">
              <w:rPr>
                <w:rFonts w:ascii="Times New Roman" w:hAnsi="Times New Roman"/>
                <w:sz w:val="24"/>
                <w:szCs w:val="24"/>
              </w:rPr>
              <w:t xml:space="preserve">, </w:t>
            </w:r>
            <w:r w:rsidR="0081430D" w:rsidRPr="005752FE">
              <w:rPr>
                <w:rFonts w:ascii="Times New Roman" w:hAnsi="Times New Roman"/>
                <w:sz w:val="24"/>
                <w:szCs w:val="24"/>
              </w:rPr>
              <w:t xml:space="preserve">in </w:t>
            </w:r>
            <w:r w:rsidR="00207344" w:rsidRPr="00F4321B">
              <w:rPr>
                <w:rFonts w:ascii="Times New Roman" w:hAnsi="Times New Roman"/>
                <w:sz w:val="24"/>
                <w:szCs w:val="24"/>
              </w:rPr>
              <w:t>item 2.1.</w:t>
            </w:r>
            <w:r w:rsidR="0081430D" w:rsidRPr="00F4321B">
              <w:rPr>
                <w:rFonts w:ascii="Times New Roman" w:hAnsi="Times New Roman"/>
                <w:sz w:val="24"/>
                <w:szCs w:val="24"/>
              </w:rPr>
              <w:t xml:space="preserve"> </w:t>
            </w:r>
          </w:p>
          <w:p w:rsidR="008A1124" w:rsidRPr="00F4321B" w:rsidRDefault="0051527D" w:rsidP="00207344">
            <w:pPr>
              <w:spacing w:before="120" w:after="120"/>
              <w:jc w:val="both"/>
              <w:rPr>
                <w:rFonts w:ascii="Times New Roman" w:hAnsi="Times New Roman"/>
                <w:sz w:val="24"/>
                <w:szCs w:val="24"/>
              </w:rPr>
            </w:pPr>
            <w:r w:rsidRPr="00757633">
              <w:rPr>
                <w:rFonts w:ascii="Times New Roman" w:hAnsi="Times New Roman"/>
                <w:sz w:val="24"/>
                <w:szCs w:val="24"/>
              </w:rPr>
              <w:t>Report the total</w:t>
            </w:r>
            <w:r w:rsidRPr="00757633">
              <w:rPr>
                <w:rFonts w:ascii="Times New Roman" w:hAnsi="Times New Roman"/>
                <w:b/>
                <w:i/>
                <w:sz w:val="24"/>
                <w:szCs w:val="24"/>
              </w:rPr>
              <w:t xml:space="preserve"> assets</w:t>
            </w:r>
            <w:r w:rsidRPr="00757633">
              <w:rPr>
                <w:rFonts w:ascii="Times New Roman" w:hAnsi="Times New Roman"/>
                <w:sz w:val="24"/>
                <w:szCs w:val="24"/>
              </w:rPr>
              <w:t xml:space="preserve"> of the </w:t>
            </w:r>
            <w:r w:rsidR="00D56520">
              <w:rPr>
                <w:rFonts w:ascii="Times New Roman" w:hAnsi="Times New Roman"/>
                <w:sz w:val="24"/>
                <w:szCs w:val="24"/>
              </w:rPr>
              <w:t>s</w:t>
            </w:r>
            <w:r w:rsidR="007C006E">
              <w:rPr>
                <w:rFonts w:ascii="Times New Roman" w:hAnsi="Times New Roman"/>
                <w:sz w:val="24"/>
                <w:szCs w:val="24"/>
              </w:rPr>
              <w:t>elect investment option</w:t>
            </w:r>
            <w:r w:rsidRPr="00757633">
              <w:rPr>
                <w:rFonts w:ascii="Times New Roman" w:hAnsi="Times New Roman"/>
                <w:sz w:val="24"/>
                <w:szCs w:val="24"/>
              </w:rPr>
              <w:t xml:space="preserve"> in item 2.2</w:t>
            </w:r>
            <w:r w:rsidR="00DE4923" w:rsidRPr="00383EAA">
              <w:rPr>
                <w:rFonts w:ascii="Times New Roman" w:hAnsi="Times New Roman"/>
                <w:sz w:val="24"/>
                <w:szCs w:val="24"/>
              </w:rPr>
              <w:t xml:space="preserve">. Includes: investments, </w:t>
            </w:r>
            <w:r w:rsidR="008A1124" w:rsidRPr="005752FE">
              <w:rPr>
                <w:rFonts w:ascii="Times New Roman" w:hAnsi="Times New Roman"/>
                <w:sz w:val="24"/>
                <w:szCs w:val="24"/>
              </w:rPr>
              <w:t>securities purchased under agreements t</w:t>
            </w:r>
            <w:r w:rsidR="008A1124" w:rsidRPr="00F4321B">
              <w:rPr>
                <w:rFonts w:ascii="Times New Roman" w:hAnsi="Times New Roman"/>
                <w:sz w:val="24"/>
                <w:szCs w:val="24"/>
              </w:rPr>
              <w:t xml:space="preserve">o resell and securities borrowed, </w:t>
            </w:r>
            <w:r w:rsidR="00DE4923" w:rsidRPr="00F4321B">
              <w:rPr>
                <w:rFonts w:ascii="Times New Roman" w:hAnsi="Times New Roman"/>
                <w:sz w:val="24"/>
                <w:szCs w:val="24"/>
              </w:rPr>
              <w:t>derivative assets, current tax assets, deferred tax assets.</w:t>
            </w:r>
          </w:p>
          <w:p w:rsidR="006019DB" w:rsidRPr="00F4321B" w:rsidRDefault="006019DB" w:rsidP="006019DB">
            <w:pPr>
              <w:spacing w:before="120" w:after="120"/>
              <w:jc w:val="both"/>
              <w:rPr>
                <w:rFonts w:ascii="Times New Roman" w:hAnsi="Times New Roman"/>
                <w:sz w:val="24"/>
                <w:szCs w:val="24"/>
              </w:rPr>
            </w:pPr>
            <w:r w:rsidRPr="00F4321B">
              <w:rPr>
                <w:rFonts w:ascii="Times New Roman" w:hAnsi="Times New Roman"/>
                <w:sz w:val="24"/>
                <w:szCs w:val="24"/>
              </w:rPr>
              <w:t xml:space="preserve">The asset class types are: </w:t>
            </w:r>
            <w:r w:rsidRPr="00F4321B">
              <w:rPr>
                <w:rFonts w:ascii="Times New Roman" w:hAnsi="Times New Roman"/>
                <w:b/>
                <w:i/>
                <w:sz w:val="24"/>
                <w:szCs w:val="24"/>
              </w:rPr>
              <w:t>cash</w:t>
            </w:r>
            <w:r w:rsidRPr="00F4321B">
              <w:rPr>
                <w:rFonts w:ascii="Times New Roman" w:hAnsi="Times New Roman"/>
                <w:sz w:val="24"/>
                <w:szCs w:val="24"/>
              </w:rPr>
              <w:t xml:space="preserve">, </w:t>
            </w:r>
            <w:r w:rsidRPr="00F4321B">
              <w:rPr>
                <w:rFonts w:ascii="Times New Roman" w:hAnsi="Times New Roman"/>
                <w:b/>
                <w:i/>
                <w:sz w:val="24"/>
                <w:szCs w:val="24"/>
              </w:rPr>
              <w:t>fixed</w:t>
            </w:r>
            <w:r w:rsidRPr="00F4321B">
              <w:rPr>
                <w:rFonts w:ascii="Times New Roman" w:hAnsi="Times New Roman"/>
                <w:sz w:val="24"/>
                <w:szCs w:val="24"/>
              </w:rPr>
              <w:t xml:space="preserve"> </w:t>
            </w:r>
            <w:r w:rsidRPr="00F4321B">
              <w:rPr>
                <w:rFonts w:ascii="Times New Roman" w:hAnsi="Times New Roman"/>
                <w:b/>
                <w:i/>
                <w:sz w:val="24"/>
                <w:szCs w:val="24"/>
              </w:rPr>
              <w:t>income</w:t>
            </w:r>
            <w:r w:rsidRPr="00F4321B">
              <w:rPr>
                <w:rFonts w:ascii="Times New Roman" w:hAnsi="Times New Roman"/>
                <w:sz w:val="24"/>
                <w:szCs w:val="24"/>
              </w:rPr>
              <w:t xml:space="preserve">, </w:t>
            </w:r>
            <w:r w:rsidRPr="00F4321B">
              <w:rPr>
                <w:rFonts w:ascii="Times New Roman" w:hAnsi="Times New Roman"/>
                <w:b/>
                <w:i/>
                <w:sz w:val="24"/>
                <w:szCs w:val="24"/>
              </w:rPr>
              <w:t>equity</w:t>
            </w:r>
            <w:r w:rsidRPr="00F4321B">
              <w:rPr>
                <w:rFonts w:ascii="Times New Roman" w:hAnsi="Times New Roman"/>
                <w:sz w:val="24"/>
                <w:szCs w:val="24"/>
              </w:rPr>
              <w:t xml:space="preserve">, </w:t>
            </w:r>
            <w:r w:rsidRPr="00F4321B">
              <w:rPr>
                <w:rFonts w:ascii="Times New Roman" w:hAnsi="Times New Roman"/>
                <w:b/>
                <w:i/>
                <w:sz w:val="24"/>
                <w:szCs w:val="24"/>
              </w:rPr>
              <w:t>property</w:t>
            </w:r>
            <w:r w:rsidRPr="00F4321B">
              <w:rPr>
                <w:rFonts w:ascii="Times New Roman" w:hAnsi="Times New Roman"/>
                <w:sz w:val="24"/>
                <w:szCs w:val="24"/>
              </w:rPr>
              <w:t xml:space="preserve">, </w:t>
            </w:r>
            <w:r w:rsidRPr="00F4321B">
              <w:rPr>
                <w:rFonts w:ascii="Times New Roman" w:hAnsi="Times New Roman"/>
                <w:b/>
                <w:i/>
                <w:sz w:val="24"/>
                <w:szCs w:val="24"/>
              </w:rPr>
              <w:t>infrastructure</w:t>
            </w:r>
            <w:r w:rsidRPr="00F4321B">
              <w:rPr>
                <w:rFonts w:ascii="Times New Roman" w:hAnsi="Times New Roman"/>
                <w:sz w:val="24"/>
                <w:szCs w:val="24"/>
              </w:rPr>
              <w:t xml:space="preserve">, </w:t>
            </w:r>
            <w:r w:rsidRPr="00F4321B">
              <w:rPr>
                <w:rFonts w:ascii="Times New Roman" w:hAnsi="Times New Roman"/>
                <w:b/>
                <w:i/>
                <w:sz w:val="24"/>
                <w:szCs w:val="24"/>
              </w:rPr>
              <w:t>commodities</w:t>
            </w:r>
            <w:r w:rsidRPr="00F4321B">
              <w:rPr>
                <w:rFonts w:ascii="Times New Roman" w:hAnsi="Times New Roman"/>
                <w:sz w:val="24"/>
                <w:szCs w:val="24"/>
              </w:rPr>
              <w:t xml:space="preserve"> and </w:t>
            </w:r>
            <w:r w:rsidR="00325ED8" w:rsidRPr="00F4321B">
              <w:rPr>
                <w:rFonts w:ascii="Times New Roman" w:hAnsi="Times New Roman"/>
                <w:sz w:val="24"/>
                <w:szCs w:val="24"/>
              </w:rPr>
              <w:t>‘</w:t>
            </w:r>
            <w:r w:rsidRPr="00F4321B">
              <w:rPr>
                <w:rFonts w:ascii="Times New Roman" w:hAnsi="Times New Roman"/>
                <w:sz w:val="24"/>
                <w:szCs w:val="24"/>
              </w:rPr>
              <w:t>other</w:t>
            </w:r>
            <w:r w:rsidR="00325ED8" w:rsidRPr="00F4321B">
              <w:rPr>
                <w:rFonts w:ascii="Times New Roman" w:hAnsi="Times New Roman"/>
                <w:sz w:val="24"/>
                <w:szCs w:val="24"/>
              </w:rPr>
              <w:t>’</w:t>
            </w:r>
            <w:r w:rsidRPr="00F4321B">
              <w:rPr>
                <w:rFonts w:ascii="Times New Roman" w:hAnsi="Times New Roman"/>
                <w:sz w:val="24"/>
                <w:szCs w:val="24"/>
              </w:rPr>
              <w:t>.</w:t>
            </w:r>
          </w:p>
          <w:p w:rsidR="006019DB" w:rsidRPr="002712FD" w:rsidRDefault="006019DB" w:rsidP="006019DB">
            <w:pPr>
              <w:spacing w:before="120" w:after="120"/>
              <w:jc w:val="both"/>
              <w:rPr>
                <w:rFonts w:ascii="Times New Roman" w:hAnsi="Times New Roman"/>
                <w:sz w:val="24"/>
                <w:szCs w:val="24"/>
              </w:rPr>
            </w:pPr>
            <w:r w:rsidRPr="00F4321B">
              <w:rPr>
                <w:rFonts w:ascii="Times New Roman" w:hAnsi="Times New Roman"/>
                <w:sz w:val="24"/>
                <w:szCs w:val="24"/>
              </w:rPr>
              <w:t xml:space="preserve">The </w:t>
            </w:r>
            <w:r w:rsidR="00DE4923" w:rsidRPr="00F4321B">
              <w:rPr>
                <w:rFonts w:ascii="Times New Roman" w:hAnsi="Times New Roman"/>
                <w:sz w:val="24"/>
                <w:szCs w:val="24"/>
              </w:rPr>
              <w:t xml:space="preserve">asset </w:t>
            </w:r>
            <w:r w:rsidRPr="00F4321B">
              <w:rPr>
                <w:rFonts w:ascii="Times New Roman" w:hAnsi="Times New Roman"/>
                <w:sz w:val="24"/>
                <w:szCs w:val="24"/>
              </w:rPr>
              <w:t xml:space="preserve">domicile types are: </w:t>
            </w:r>
            <w:r w:rsidRPr="00F4321B">
              <w:rPr>
                <w:rFonts w:ascii="Times New Roman" w:hAnsi="Times New Roman"/>
                <w:b/>
                <w:i/>
                <w:sz w:val="24"/>
                <w:szCs w:val="24"/>
              </w:rPr>
              <w:t>Australia domicile</w:t>
            </w:r>
            <w:r w:rsidRPr="00F4321B">
              <w:rPr>
                <w:rFonts w:ascii="Times New Roman" w:hAnsi="Times New Roman"/>
                <w:sz w:val="24"/>
                <w:szCs w:val="24"/>
              </w:rPr>
              <w:t xml:space="preserve">, </w:t>
            </w:r>
            <w:r w:rsidRPr="00F4321B">
              <w:rPr>
                <w:rFonts w:ascii="Times New Roman" w:hAnsi="Times New Roman"/>
                <w:b/>
                <w:i/>
                <w:sz w:val="24"/>
                <w:szCs w:val="24"/>
              </w:rPr>
              <w:t>international domicile</w:t>
            </w:r>
            <w:r w:rsidRPr="00F4321B">
              <w:rPr>
                <w:rFonts w:ascii="Times New Roman" w:hAnsi="Times New Roman"/>
                <w:sz w:val="24"/>
                <w:szCs w:val="24"/>
              </w:rPr>
              <w:t xml:space="preserve"> and </w:t>
            </w:r>
            <w:r w:rsidR="00325ED8" w:rsidRPr="00F4321B">
              <w:rPr>
                <w:rFonts w:ascii="Times New Roman" w:hAnsi="Times New Roman"/>
                <w:sz w:val="24"/>
                <w:szCs w:val="24"/>
              </w:rPr>
              <w:t>‘not applicable’</w:t>
            </w:r>
            <w:r w:rsidRPr="00F4321B">
              <w:rPr>
                <w:rFonts w:ascii="Times New Roman" w:hAnsi="Times New Roman"/>
                <w:sz w:val="24"/>
                <w:szCs w:val="24"/>
              </w:rPr>
              <w:t xml:space="preserve">. </w:t>
            </w:r>
            <w:r w:rsidRPr="00F550A9">
              <w:rPr>
                <w:rFonts w:ascii="Times New Roman" w:hAnsi="Times New Roman"/>
                <w:sz w:val="24"/>
                <w:szCs w:val="24"/>
              </w:rPr>
              <w:t xml:space="preserve">Where the </w:t>
            </w:r>
            <w:r w:rsidR="002A4C53">
              <w:rPr>
                <w:rFonts w:ascii="Times New Roman" w:hAnsi="Times New Roman"/>
                <w:sz w:val="24"/>
                <w:szCs w:val="24"/>
              </w:rPr>
              <w:t xml:space="preserve">asset </w:t>
            </w:r>
            <w:r w:rsidRPr="00F550A9">
              <w:rPr>
                <w:rFonts w:ascii="Times New Roman" w:hAnsi="Times New Roman"/>
                <w:sz w:val="24"/>
                <w:szCs w:val="24"/>
              </w:rPr>
              <w:t xml:space="preserve">domicile is not </w:t>
            </w:r>
            <w:r w:rsidR="007A415C" w:rsidRPr="00F550A9">
              <w:rPr>
                <w:rFonts w:ascii="Times New Roman" w:hAnsi="Times New Roman"/>
                <w:sz w:val="24"/>
                <w:szCs w:val="24"/>
              </w:rPr>
              <w:t>known</w:t>
            </w:r>
            <w:r w:rsidRPr="00F550A9">
              <w:rPr>
                <w:rFonts w:ascii="Times New Roman" w:hAnsi="Times New Roman"/>
                <w:sz w:val="24"/>
                <w:szCs w:val="24"/>
              </w:rPr>
              <w:t xml:space="preserve">, report </w:t>
            </w:r>
            <w:r w:rsidR="00DE4923" w:rsidRPr="00F550A9">
              <w:rPr>
                <w:rFonts w:ascii="Times New Roman" w:hAnsi="Times New Roman"/>
                <w:sz w:val="24"/>
                <w:szCs w:val="24"/>
              </w:rPr>
              <w:t xml:space="preserve">asset </w:t>
            </w:r>
            <w:r w:rsidRPr="00F550A9">
              <w:rPr>
                <w:rFonts w:ascii="Times New Roman" w:hAnsi="Times New Roman"/>
                <w:sz w:val="24"/>
                <w:szCs w:val="24"/>
              </w:rPr>
              <w:t>domicile type as ‘not applicable’.</w:t>
            </w:r>
            <w:r w:rsidR="00F550A9">
              <w:rPr>
                <w:rFonts w:ascii="Times New Roman" w:hAnsi="Times New Roman"/>
                <w:sz w:val="24"/>
                <w:szCs w:val="24"/>
              </w:rPr>
              <w:t xml:space="preserve"> </w:t>
            </w:r>
            <w:r w:rsidR="00A55BF6">
              <w:rPr>
                <w:rFonts w:ascii="Times New Roman" w:hAnsi="Times New Roman"/>
                <w:sz w:val="24"/>
                <w:szCs w:val="24"/>
              </w:rPr>
              <w:t xml:space="preserve">Asset domicile is the domicile of the assets </w:t>
            </w:r>
            <w:r w:rsidR="00A55BF6" w:rsidRPr="00523787">
              <w:rPr>
                <w:rFonts w:ascii="Times New Roman" w:hAnsi="Times New Roman"/>
                <w:sz w:val="24"/>
                <w:szCs w:val="24"/>
              </w:rPr>
              <w:t xml:space="preserve">identified when applying the look-through requirements, not the domicile of the investment </w:t>
            </w:r>
            <w:r w:rsidR="00A55BF6" w:rsidRPr="003D7B06">
              <w:rPr>
                <w:rFonts w:ascii="Times New Roman" w:hAnsi="Times New Roman"/>
                <w:sz w:val="24"/>
                <w:szCs w:val="24"/>
              </w:rPr>
              <w:t>vehicle</w:t>
            </w:r>
            <w:r w:rsidR="00A55BF6" w:rsidRPr="005E554E">
              <w:rPr>
                <w:rFonts w:ascii="Times New Roman" w:hAnsi="Times New Roman"/>
                <w:sz w:val="24"/>
                <w:szCs w:val="24"/>
              </w:rPr>
              <w:t xml:space="preserve">. </w:t>
            </w:r>
            <w:r w:rsidR="00985C34" w:rsidRPr="00757633">
              <w:rPr>
                <w:rFonts w:ascii="Times New Roman" w:hAnsi="Times New Roman"/>
                <w:sz w:val="24"/>
                <w:szCs w:val="24"/>
              </w:rPr>
              <w:t xml:space="preserve"> </w:t>
            </w:r>
          </w:p>
          <w:p w:rsidR="006019DB" w:rsidRPr="00F4321B" w:rsidRDefault="006019DB" w:rsidP="006019DB">
            <w:pPr>
              <w:spacing w:before="120" w:after="120"/>
              <w:jc w:val="both"/>
              <w:rPr>
                <w:rFonts w:ascii="Times New Roman" w:hAnsi="Times New Roman"/>
                <w:sz w:val="24"/>
                <w:szCs w:val="24"/>
              </w:rPr>
            </w:pPr>
            <w:r w:rsidRPr="005752FE">
              <w:rPr>
                <w:rFonts w:ascii="Times New Roman" w:hAnsi="Times New Roman"/>
                <w:sz w:val="24"/>
                <w:szCs w:val="24"/>
              </w:rPr>
              <w:t xml:space="preserve">The </w:t>
            </w:r>
            <w:r w:rsidR="00DE4923" w:rsidRPr="00F4321B">
              <w:rPr>
                <w:rFonts w:ascii="Times New Roman" w:hAnsi="Times New Roman"/>
                <w:sz w:val="24"/>
                <w:szCs w:val="24"/>
              </w:rPr>
              <w:t xml:space="preserve">asset </w:t>
            </w:r>
            <w:r w:rsidRPr="00F4321B">
              <w:rPr>
                <w:rFonts w:ascii="Times New Roman" w:hAnsi="Times New Roman"/>
                <w:sz w:val="24"/>
                <w:szCs w:val="24"/>
              </w:rPr>
              <w:t xml:space="preserve">listing types are: </w:t>
            </w:r>
            <w:r w:rsidRPr="00F4321B">
              <w:rPr>
                <w:rFonts w:ascii="Times New Roman" w:hAnsi="Times New Roman"/>
                <w:b/>
                <w:i/>
                <w:sz w:val="24"/>
                <w:szCs w:val="24"/>
              </w:rPr>
              <w:t>listed</w:t>
            </w:r>
            <w:r w:rsidRPr="00F4321B">
              <w:rPr>
                <w:rFonts w:ascii="Times New Roman" w:hAnsi="Times New Roman"/>
                <w:sz w:val="24"/>
                <w:szCs w:val="24"/>
              </w:rPr>
              <w:t xml:space="preserve">, </w:t>
            </w:r>
            <w:r w:rsidRPr="00F4321B">
              <w:rPr>
                <w:rFonts w:ascii="Times New Roman" w:hAnsi="Times New Roman"/>
                <w:b/>
                <w:i/>
                <w:sz w:val="24"/>
                <w:szCs w:val="24"/>
              </w:rPr>
              <w:t>unlisted</w:t>
            </w:r>
            <w:r w:rsidRPr="00F4321B">
              <w:rPr>
                <w:rFonts w:ascii="Times New Roman" w:hAnsi="Times New Roman"/>
                <w:sz w:val="24"/>
                <w:szCs w:val="24"/>
              </w:rPr>
              <w:t xml:space="preserve"> and </w:t>
            </w:r>
            <w:r w:rsidR="00DE4923" w:rsidRPr="00F4321B">
              <w:rPr>
                <w:rFonts w:ascii="Times New Roman" w:hAnsi="Times New Roman"/>
                <w:sz w:val="24"/>
                <w:szCs w:val="24"/>
              </w:rPr>
              <w:t>‘</w:t>
            </w:r>
            <w:r w:rsidRPr="00F4321B">
              <w:rPr>
                <w:rFonts w:ascii="Times New Roman" w:hAnsi="Times New Roman"/>
                <w:sz w:val="24"/>
                <w:szCs w:val="24"/>
              </w:rPr>
              <w:t>not applicable</w:t>
            </w:r>
            <w:r w:rsidR="00DE4923" w:rsidRPr="00F4321B">
              <w:rPr>
                <w:rFonts w:ascii="Times New Roman" w:hAnsi="Times New Roman"/>
                <w:sz w:val="24"/>
                <w:szCs w:val="24"/>
              </w:rPr>
              <w:t>’</w:t>
            </w:r>
            <w:r w:rsidRPr="00F4321B">
              <w:rPr>
                <w:rFonts w:ascii="Times New Roman" w:hAnsi="Times New Roman"/>
                <w:sz w:val="24"/>
                <w:szCs w:val="24"/>
              </w:rPr>
              <w:t xml:space="preserve">. </w:t>
            </w:r>
            <w:r w:rsidR="003B7816" w:rsidRPr="00F4321B">
              <w:rPr>
                <w:rFonts w:ascii="Times New Roman" w:hAnsi="Times New Roman"/>
                <w:sz w:val="24"/>
                <w:szCs w:val="24"/>
              </w:rPr>
              <w:t xml:space="preserve">Report asset listing type as ‘not applicable’ for asset class type </w:t>
            </w:r>
            <w:r w:rsidR="003B7816" w:rsidRPr="00F4321B">
              <w:rPr>
                <w:rFonts w:ascii="Times New Roman" w:hAnsi="Times New Roman"/>
                <w:b/>
                <w:i/>
                <w:sz w:val="24"/>
                <w:szCs w:val="24"/>
              </w:rPr>
              <w:t>cash</w:t>
            </w:r>
            <w:r w:rsidR="003B7816" w:rsidRPr="00F4321B">
              <w:rPr>
                <w:rFonts w:ascii="Times New Roman" w:hAnsi="Times New Roman"/>
                <w:sz w:val="24"/>
                <w:szCs w:val="24"/>
              </w:rPr>
              <w:t>.</w:t>
            </w:r>
            <w:r w:rsidR="00DB2B19" w:rsidRPr="00F4321B">
              <w:rPr>
                <w:rFonts w:ascii="Times New Roman" w:hAnsi="Times New Roman"/>
                <w:sz w:val="24"/>
                <w:szCs w:val="24"/>
              </w:rPr>
              <w:t xml:space="preserve"> Where the asset listing is not known, report asset listing type as ‘not applicable’.</w:t>
            </w:r>
          </w:p>
          <w:p w:rsidR="006019DB" w:rsidRPr="00F4321B" w:rsidRDefault="006019DB" w:rsidP="006019DB">
            <w:pPr>
              <w:spacing w:before="120" w:after="120"/>
              <w:jc w:val="both"/>
              <w:rPr>
                <w:rFonts w:ascii="Times New Roman" w:hAnsi="Times New Roman"/>
                <w:sz w:val="24"/>
                <w:szCs w:val="24"/>
              </w:rPr>
            </w:pPr>
            <w:r w:rsidRPr="00F4321B">
              <w:rPr>
                <w:rFonts w:ascii="Times New Roman" w:hAnsi="Times New Roman"/>
                <w:sz w:val="24"/>
                <w:szCs w:val="24"/>
              </w:rPr>
              <w:t xml:space="preserve">The fixed income types are: </w:t>
            </w:r>
            <w:r w:rsidRPr="00F4321B">
              <w:rPr>
                <w:rFonts w:ascii="Times New Roman" w:hAnsi="Times New Roman"/>
                <w:b/>
                <w:i/>
                <w:sz w:val="24"/>
                <w:szCs w:val="24"/>
              </w:rPr>
              <w:t>Government debt</w:t>
            </w:r>
            <w:r w:rsidRPr="00F4321B">
              <w:rPr>
                <w:rFonts w:ascii="Times New Roman" w:hAnsi="Times New Roman"/>
                <w:sz w:val="24"/>
                <w:szCs w:val="24"/>
              </w:rPr>
              <w:t xml:space="preserve">, </w:t>
            </w:r>
            <w:r w:rsidRPr="00F4321B">
              <w:rPr>
                <w:rFonts w:ascii="Times New Roman" w:hAnsi="Times New Roman"/>
                <w:b/>
                <w:i/>
                <w:sz w:val="24"/>
                <w:szCs w:val="24"/>
              </w:rPr>
              <w:t>non Government debt</w:t>
            </w:r>
            <w:r w:rsidRPr="00F4321B">
              <w:rPr>
                <w:rFonts w:ascii="Times New Roman" w:hAnsi="Times New Roman"/>
                <w:sz w:val="24"/>
                <w:szCs w:val="24"/>
              </w:rPr>
              <w:t xml:space="preserve">, </w:t>
            </w:r>
            <w:r w:rsidRPr="00F4321B">
              <w:rPr>
                <w:rFonts w:ascii="Times New Roman" w:hAnsi="Times New Roman"/>
                <w:b/>
                <w:i/>
                <w:sz w:val="24"/>
                <w:szCs w:val="24"/>
              </w:rPr>
              <w:t>mortgage debt</w:t>
            </w:r>
            <w:r w:rsidRPr="00F4321B">
              <w:rPr>
                <w:rFonts w:ascii="Times New Roman" w:hAnsi="Times New Roman"/>
                <w:sz w:val="24"/>
                <w:szCs w:val="24"/>
              </w:rPr>
              <w:t xml:space="preserve">, </w:t>
            </w:r>
            <w:r w:rsidRPr="00F4321B">
              <w:rPr>
                <w:rFonts w:ascii="Times New Roman" w:hAnsi="Times New Roman"/>
                <w:b/>
                <w:i/>
                <w:sz w:val="24"/>
                <w:szCs w:val="24"/>
              </w:rPr>
              <w:t>credit</w:t>
            </w:r>
            <w:r w:rsidRPr="00F4321B">
              <w:rPr>
                <w:rFonts w:ascii="Times New Roman" w:hAnsi="Times New Roman"/>
                <w:sz w:val="24"/>
                <w:szCs w:val="24"/>
              </w:rPr>
              <w:t xml:space="preserve"> and </w:t>
            </w:r>
            <w:r w:rsidR="00325ED8" w:rsidRPr="00F4321B">
              <w:rPr>
                <w:rFonts w:ascii="Times New Roman" w:hAnsi="Times New Roman"/>
                <w:sz w:val="24"/>
                <w:szCs w:val="24"/>
              </w:rPr>
              <w:t>‘not applicable’</w:t>
            </w:r>
            <w:r w:rsidRPr="00F4321B">
              <w:rPr>
                <w:rFonts w:ascii="Times New Roman" w:hAnsi="Times New Roman"/>
                <w:sz w:val="24"/>
                <w:szCs w:val="24"/>
              </w:rPr>
              <w:t xml:space="preserve">. Fixed income types are only applicable to the asset class type </w:t>
            </w:r>
            <w:r w:rsidRPr="00F4321B">
              <w:rPr>
                <w:rFonts w:ascii="Times New Roman" w:hAnsi="Times New Roman"/>
                <w:b/>
                <w:i/>
                <w:sz w:val="24"/>
                <w:szCs w:val="24"/>
              </w:rPr>
              <w:t>fixed income</w:t>
            </w:r>
            <w:r w:rsidRPr="00F4321B">
              <w:rPr>
                <w:rFonts w:ascii="Times New Roman" w:hAnsi="Times New Roman"/>
                <w:sz w:val="24"/>
                <w:szCs w:val="24"/>
              </w:rPr>
              <w:t>.</w:t>
            </w:r>
            <w:r w:rsidR="00DB2B19" w:rsidRPr="00F4321B">
              <w:rPr>
                <w:rFonts w:ascii="Times New Roman" w:hAnsi="Times New Roman"/>
                <w:sz w:val="24"/>
                <w:szCs w:val="24"/>
              </w:rPr>
              <w:t xml:space="preserve"> For asset class type </w:t>
            </w:r>
            <w:r w:rsidR="00DB2B19" w:rsidRPr="00F4321B">
              <w:rPr>
                <w:rFonts w:ascii="Times New Roman" w:hAnsi="Times New Roman"/>
                <w:b/>
                <w:i/>
                <w:sz w:val="24"/>
                <w:szCs w:val="24"/>
              </w:rPr>
              <w:t xml:space="preserve">fixed income, </w:t>
            </w:r>
            <w:r w:rsidR="00DB2B19" w:rsidRPr="00F4321B">
              <w:rPr>
                <w:rFonts w:ascii="Times New Roman" w:hAnsi="Times New Roman"/>
                <w:sz w:val="24"/>
                <w:szCs w:val="24"/>
              </w:rPr>
              <w:t>where the fixed income type is not known, report fixed income type as ‘not applicable’.</w:t>
            </w:r>
          </w:p>
          <w:p w:rsidR="0081430D" w:rsidRPr="00F4321B" w:rsidRDefault="0081430D" w:rsidP="00DB2B19">
            <w:pPr>
              <w:spacing w:before="120" w:after="120"/>
              <w:jc w:val="both"/>
              <w:rPr>
                <w:rFonts w:ascii="Times New Roman" w:hAnsi="Times New Roman"/>
                <w:sz w:val="24"/>
                <w:szCs w:val="24"/>
              </w:rPr>
            </w:pPr>
          </w:p>
        </w:tc>
      </w:tr>
      <w:tr w:rsidR="00050E15" w:rsidRPr="00CF07C1" w:rsidTr="003A0B11">
        <w:tc>
          <w:tcPr>
            <w:tcW w:w="1701" w:type="dxa"/>
          </w:tcPr>
          <w:p w:rsidR="00050E15" w:rsidRPr="00050E15" w:rsidRDefault="00747C50" w:rsidP="00747C50">
            <w:pPr>
              <w:spacing w:before="120" w:after="120"/>
              <w:rPr>
                <w:rFonts w:ascii="Times New Roman" w:hAnsi="Times New Roman"/>
                <w:b/>
                <w:i/>
                <w:sz w:val="24"/>
                <w:szCs w:val="24"/>
              </w:rPr>
            </w:pPr>
            <w:r>
              <w:rPr>
                <w:rFonts w:ascii="Times New Roman" w:hAnsi="Times New Roman"/>
                <w:b/>
                <w:i/>
                <w:color w:val="000000"/>
                <w:sz w:val="24"/>
                <w:szCs w:val="24"/>
              </w:rPr>
              <w:lastRenderedPageBreak/>
              <w:t xml:space="preserve">Currency  </w:t>
            </w:r>
            <w:r w:rsidR="00590C69">
              <w:rPr>
                <w:rFonts w:ascii="Times New Roman" w:hAnsi="Times New Roman"/>
                <w:b/>
                <w:i/>
                <w:color w:val="000000"/>
                <w:sz w:val="24"/>
                <w:szCs w:val="24"/>
              </w:rPr>
              <w:t>hedg</w:t>
            </w:r>
            <w:r>
              <w:rPr>
                <w:rFonts w:ascii="Times New Roman" w:hAnsi="Times New Roman"/>
                <w:b/>
                <w:i/>
                <w:color w:val="000000"/>
                <w:sz w:val="24"/>
                <w:szCs w:val="24"/>
              </w:rPr>
              <w:t>ed</w:t>
            </w:r>
            <w:r w:rsidR="00590C69">
              <w:rPr>
                <w:rFonts w:ascii="Times New Roman" w:hAnsi="Times New Roman"/>
                <w:b/>
                <w:i/>
                <w:color w:val="000000"/>
                <w:sz w:val="24"/>
                <w:szCs w:val="24"/>
              </w:rPr>
              <w:t xml:space="preserve"> </w:t>
            </w:r>
          </w:p>
        </w:tc>
        <w:tc>
          <w:tcPr>
            <w:tcW w:w="7370" w:type="dxa"/>
          </w:tcPr>
          <w:p w:rsidR="00590C69" w:rsidRPr="00CF07C1" w:rsidRDefault="00747C50" w:rsidP="00FC4AAF">
            <w:pPr>
              <w:spacing w:before="120" w:after="120"/>
              <w:jc w:val="both"/>
              <w:rPr>
                <w:rFonts w:ascii="Times New Roman" w:hAnsi="Times New Roman"/>
                <w:sz w:val="24"/>
                <w:szCs w:val="24"/>
              </w:rPr>
            </w:pPr>
            <w:r w:rsidRPr="00747C50">
              <w:rPr>
                <w:rFonts w:ascii="Times New Roman" w:hAnsi="Times New Roman"/>
                <w:color w:val="000000"/>
                <w:sz w:val="24"/>
                <w:szCs w:val="24"/>
              </w:rPr>
              <w:t>Represents where derivative financial instruments are used to reduce the risk of adverse currency movements.</w:t>
            </w:r>
          </w:p>
        </w:tc>
      </w:tr>
      <w:tr w:rsidR="0051527D" w:rsidRPr="00CF07C1" w:rsidTr="003A0B11">
        <w:tc>
          <w:tcPr>
            <w:tcW w:w="1701" w:type="dxa"/>
          </w:tcPr>
          <w:p w:rsidR="0051527D" w:rsidRDefault="0051527D" w:rsidP="003A0B11">
            <w:pPr>
              <w:spacing w:before="120" w:after="120"/>
              <w:rPr>
                <w:rFonts w:ascii="Times New Roman" w:hAnsi="Times New Roman"/>
                <w:b/>
                <w:i/>
                <w:color w:val="000000"/>
                <w:sz w:val="24"/>
                <w:szCs w:val="24"/>
              </w:rPr>
            </w:pPr>
            <w:r>
              <w:rPr>
                <w:rFonts w:ascii="Times New Roman" w:hAnsi="Times New Roman"/>
                <w:b/>
                <w:i/>
                <w:sz w:val="24"/>
                <w:szCs w:val="24"/>
              </w:rPr>
              <w:t>Assets</w:t>
            </w:r>
          </w:p>
        </w:tc>
        <w:tc>
          <w:tcPr>
            <w:tcW w:w="7370" w:type="dxa"/>
          </w:tcPr>
          <w:p w:rsidR="0051527D" w:rsidRPr="00FF59B0" w:rsidRDefault="001E01CF" w:rsidP="00172777">
            <w:pPr>
              <w:spacing w:before="120" w:after="120"/>
              <w:jc w:val="both"/>
              <w:rPr>
                <w:rFonts w:ascii="Times New Roman" w:hAnsi="Times New Roman"/>
                <w:color w:val="000000"/>
                <w:sz w:val="24"/>
                <w:szCs w:val="24"/>
              </w:rPr>
            </w:pPr>
            <w:r w:rsidRPr="001E01CF">
              <w:rPr>
                <w:rFonts w:ascii="Times New Roman" w:hAnsi="Times New Roman"/>
                <w:sz w:val="24"/>
                <w:szCs w:val="24"/>
              </w:rPr>
              <w:t>Represents a resource: (a) controlled by an entity as a result of past events; and (b) from which future economic benefits are expected to flow to the entity. Reference: Australian Accounting Standards.</w:t>
            </w:r>
          </w:p>
        </w:tc>
      </w:tr>
    </w:tbl>
    <w:p w:rsidR="0081430D" w:rsidRPr="00FF59B0" w:rsidRDefault="005B0524" w:rsidP="00DB2B19">
      <w:pPr>
        <w:widowControl w:val="0"/>
        <w:spacing w:before="240" w:after="240"/>
        <w:jc w:val="both"/>
        <w:rPr>
          <w:rFonts w:ascii="Arial" w:hAnsi="Arial" w:cs="Arial"/>
          <w:b/>
          <w:color w:val="000000"/>
          <w:sz w:val="24"/>
          <w:szCs w:val="24"/>
        </w:rPr>
      </w:pPr>
      <w:r>
        <w:rPr>
          <w:rFonts w:ascii="Arial" w:hAnsi="Arial" w:cs="Arial"/>
          <w:b/>
          <w:color w:val="000000"/>
          <w:sz w:val="24"/>
          <w:szCs w:val="24"/>
        </w:rPr>
        <w:t>Movements in</w:t>
      </w:r>
      <w:r w:rsidR="0081430D" w:rsidRPr="00FF59B0">
        <w:rPr>
          <w:rFonts w:ascii="Arial" w:hAnsi="Arial" w:cs="Arial"/>
          <w:b/>
          <w:color w:val="000000"/>
          <w:sz w:val="24"/>
          <w:szCs w:val="24"/>
        </w:rPr>
        <w:t xml:space="preserve"> </w:t>
      </w:r>
      <w:r w:rsidR="00884117">
        <w:rPr>
          <w:rFonts w:ascii="Arial" w:eastAsia="Times New Roman" w:hAnsi="Arial" w:cs="Arial"/>
          <w:b/>
          <w:szCs w:val="24"/>
          <w:lang w:eastAsia="en-AU"/>
        </w:rPr>
        <w:t>d</w:t>
      </w:r>
      <w:r w:rsidR="00884117">
        <w:rPr>
          <w:rFonts w:ascii="Arial" w:eastAsia="Times New Roman" w:hAnsi="Arial" w:cs="Arial"/>
          <w:b/>
          <w:lang w:eastAsia="en-AU"/>
        </w:rPr>
        <w:t>irectly held and indirectly held investments</w:t>
      </w:r>
    </w:p>
    <w:p w:rsidR="0081430D" w:rsidRDefault="0081430D" w:rsidP="0081430D">
      <w:pPr>
        <w:widowControl w:val="0"/>
        <w:spacing w:after="240"/>
        <w:jc w:val="both"/>
        <w:rPr>
          <w:rFonts w:ascii="Times New Roman" w:hAnsi="Times New Roman"/>
          <w:color w:val="000000"/>
          <w:sz w:val="24"/>
          <w:szCs w:val="24"/>
        </w:rPr>
      </w:pPr>
      <w:r>
        <w:rPr>
          <w:rFonts w:ascii="Times New Roman" w:hAnsi="Times New Roman"/>
          <w:color w:val="000000"/>
          <w:sz w:val="24"/>
          <w:szCs w:val="24"/>
        </w:rPr>
        <w:t xml:space="preserve">Item 3 collects </w:t>
      </w:r>
      <w:r w:rsidRPr="00FF59B0">
        <w:rPr>
          <w:rFonts w:ascii="Times New Roman" w:hAnsi="Times New Roman"/>
          <w:color w:val="000000"/>
          <w:sz w:val="24"/>
          <w:szCs w:val="24"/>
        </w:rPr>
        <w:t xml:space="preserve">the movements of the </w:t>
      </w:r>
      <w:r w:rsidR="00D56520">
        <w:rPr>
          <w:rFonts w:ascii="Times New Roman" w:hAnsi="Times New Roman"/>
          <w:sz w:val="24"/>
          <w:szCs w:val="24"/>
        </w:rPr>
        <w:t>s</w:t>
      </w:r>
      <w:r w:rsidR="007C006E">
        <w:rPr>
          <w:rFonts w:ascii="Times New Roman" w:hAnsi="Times New Roman"/>
          <w:sz w:val="24"/>
          <w:szCs w:val="24"/>
        </w:rPr>
        <w:t>elect investment option</w:t>
      </w:r>
      <w:r>
        <w:rPr>
          <w:rFonts w:ascii="Times New Roman" w:hAnsi="Times New Roman"/>
          <w:color w:val="000000"/>
          <w:sz w:val="24"/>
          <w:szCs w:val="24"/>
        </w:rPr>
        <w:t xml:space="preserve">. </w:t>
      </w:r>
    </w:p>
    <w:p w:rsidR="002C50E6" w:rsidRPr="002C50E6" w:rsidRDefault="002C50E6" w:rsidP="002C50E6">
      <w:pPr>
        <w:spacing w:before="240" w:after="240"/>
        <w:jc w:val="both"/>
        <w:rPr>
          <w:rFonts w:ascii="Times New Roman" w:hAnsi="Times New Roman"/>
          <w:color w:val="000000"/>
          <w:sz w:val="24"/>
          <w:szCs w:val="24"/>
        </w:rPr>
      </w:pPr>
      <w:r w:rsidRPr="002C50E6">
        <w:rPr>
          <w:rFonts w:ascii="Times New Roman" w:hAnsi="Times New Roman"/>
          <w:b/>
          <w:color w:val="000000"/>
          <w:sz w:val="24"/>
          <w:szCs w:val="24"/>
        </w:rPr>
        <w:t>Reporting basis</w:t>
      </w:r>
      <w:r>
        <w:rPr>
          <w:rFonts w:ascii="Times New Roman" w:hAnsi="Times New Roman"/>
          <w:color w:val="000000"/>
          <w:sz w:val="24"/>
          <w:szCs w:val="24"/>
        </w:rPr>
        <w:t>: report item 3 with respect to transactions that occurred during the reporting period.</w:t>
      </w:r>
    </w:p>
    <w:p w:rsidR="0081430D" w:rsidRDefault="00325ED8" w:rsidP="0081430D">
      <w:pPr>
        <w:spacing w:before="240" w:after="240"/>
        <w:jc w:val="both"/>
        <w:rPr>
          <w:rFonts w:ascii="Times New Roman" w:hAnsi="Times New Roman"/>
          <w:sz w:val="24"/>
          <w:szCs w:val="24"/>
        </w:rPr>
      </w:pPr>
      <w:r>
        <w:rPr>
          <w:rFonts w:ascii="Times New Roman" w:hAnsi="Times New Roman"/>
          <w:b/>
          <w:color w:val="000000"/>
          <w:sz w:val="24"/>
          <w:szCs w:val="24"/>
        </w:rPr>
        <w:t>Unit of measurement</w:t>
      </w:r>
      <w:r w:rsidR="0081430D">
        <w:rPr>
          <w:rFonts w:ascii="Times New Roman" w:hAnsi="Times New Roman"/>
          <w:color w:val="000000"/>
          <w:sz w:val="24"/>
          <w:szCs w:val="24"/>
        </w:rPr>
        <w:t xml:space="preserve">: report </w:t>
      </w:r>
      <w:r w:rsidR="00F550A9">
        <w:rPr>
          <w:rFonts w:ascii="Times New Roman" w:hAnsi="Times New Roman"/>
          <w:color w:val="000000"/>
          <w:sz w:val="24"/>
          <w:szCs w:val="24"/>
        </w:rPr>
        <w:t>item 3</w:t>
      </w:r>
      <w:r w:rsidR="005B0524">
        <w:rPr>
          <w:rFonts w:ascii="Times New Roman" w:hAnsi="Times New Roman"/>
          <w:color w:val="000000"/>
          <w:sz w:val="24"/>
          <w:szCs w:val="24"/>
        </w:rPr>
        <w:t xml:space="preserve"> in thousands of dollars</w:t>
      </w:r>
      <w:r w:rsidR="0081430D">
        <w:rPr>
          <w:rFonts w:ascii="Times New Roman" w:hAnsi="Times New Roman"/>
          <w:color w:val="000000"/>
          <w:sz w:val="24"/>
          <w:szCs w:val="24"/>
        </w:rPr>
        <w:t>.</w:t>
      </w:r>
      <w:r w:rsidR="0081430D" w:rsidRPr="00FB09D3">
        <w:rPr>
          <w:rFonts w:ascii="Times New Roman" w:hAnsi="Times New Roman"/>
          <w:sz w:val="24"/>
          <w:szCs w:val="24"/>
        </w:rPr>
        <w:t xml:space="preserve"> </w:t>
      </w:r>
    </w:p>
    <w:p w:rsidR="008A2486" w:rsidRDefault="00DE4923" w:rsidP="0081430D">
      <w:pPr>
        <w:spacing w:before="240" w:after="240"/>
        <w:jc w:val="both"/>
        <w:rPr>
          <w:rFonts w:ascii="Times New Roman" w:hAnsi="Times New Roman"/>
          <w:color w:val="000000"/>
          <w:sz w:val="24"/>
          <w:szCs w:val="24"/>
        </w:rPr>
      </w:pPr>
      <w:r w:rsidRPr="00EA42E6">
        <w:rPr>
          <w:rFonts w:ascii="Times New Roman" w:hAnsi="Times New Roman"/>
          <w:b/>
          <w:color w:val="000000"/>
          <w:sz w:val="24"/>
          <w:szCs w:val="24"/>
        </w:rPr>
        <w:t>Look through basis</w:t>
      </w:r>
      <w:r w:rsidRPr="00EA42E6">
        <w:rPr>
          <w:rFonts w:ascii="Times New Roman" w:hAnsi="Times New Roman"/>
          <w:color w:val="000000"/>
          <w:sz w:val="24"/>
          <w:szCs w:val="24"/>
        </w:rPr>
        <w:t xml:space="preserve">: </w:t>
      </w:r>
    </w:p>
    <w:p w:rsidR="00347C2E" w:rsidRDefault="008A2486" w:rsidP="0081430D">
      <w:pPr>
        <w:spacing w:before="240" w:after="240"/>
        <w:jc w:val="both"/>
        <w:rPr>
          <w:rFonts w:ascii="Times New Roman" w:hAnsi="Times New Roman"/>
          <w:color w:val="000000"/>
          <w:sz w:val="24"/>
          <w:szCs w:val="24"/>
        </w:rPr>
      </w:pPr>
      <w:r>
        <w:rPr>
          <w:rFonts w:ascii="Times New Roman" w:hAnsi="Times New Roman"/>
          <w:color w:val="000000"/>
          <w:sz w:val="24"/>
          <w:szCs w:val="24"/>
        </w:rPr>
        <w:t>For</w:t>
      </w:r>
      <w:r w:rsidR="00347C2E">
        <w:rPr>
          <w:rFonts w:ascii="Times New Roman" w:hAnsi="Times New Roman"/>
          <w:color w:val="000000"/>
          <w:sz w:val="24"/>
          <w:szCs w:val="24"/>
        </w:rPr>
        <w:t xml:space="preserve"> directly held investments</w:t>
      </w:r>
      <w:r>
        <w:rPr>
          <w:rFonts w:ascii="Times New Roman" w:hAnsi="Times New Roman"/>
          <w:color w:val="000000"/>
          <w:sz w:val="24"/>
          <w:szCs w:val="24"/>
        </w:rPr>
        <w:t>:</w:t>
      </w:r>
      <w:r w:rsidR="00347C2E">
        <w:rPr>
          <w:rFonts w:ascii="Times New Roman" w:hAnsi="Times New Roman"/>
          <w:color w:val="000000"/>
          <w:sz w:val="24"/>
          <w:szCs w:val="24"/>
        </w:rPr>
        <w:t xml:space="preserve"> </w:t>
      </w:r>
      <w:r w:rsidR="009E27EC">
        <w:rPr>
          <w:rFonts w:ascii="Times New Roman" w:hAnsi="Times New Roman"/>
          <w:sz w:val="24"/>
          <w:szCs w:val="24"/>
        </w:rPr>
        <w:t xml:space="preserve">report item 3 on a non look through basis. </w:t>
      </w:r>
    </w:p>
    <w:p w:rsidR="00DE4923" w:rsidRPr="00172777" w:rsidRDefault="008A2486" w:rsidP="0081430D">
      <w:pPr>
        <w:spacing w:before="240" w:after="240"/>
        <w:jc w:val="both"/>
        <w:rPr>
          <w:rFonts w:ascii="Times New Roman" w:hAnsi="Times New Roman"/>
          <w:sz w:val="24"/>
          <w:szCs w:val="24"/>
        </w:rPr>
      </w:pPr>
      <w:r>
        <w:rPr>
          <w:rFonts w:ascii="Times New Roman" w:hAnsi="Times New Roman"/>
          <w:color w:val="000000"/>
          <w:sz w:val="24"/>
          <w:szCs w:val="24"/>
        </w:rPr>
        <w:t>For</w:t>
      </w:r>
      <w:r w:rsidR="00347C2E">
        <w:rPr>
          <w:rFonts w:ascii="Times New Roman" w:hAnsi="Times New Roman"/>
          <w:color w:val="000000"/>
          <w:sz w:val="24"/>
          <w:szCs w:val="24"/>
        </w:rPr>
        <w:t xml:space="preserve"> indirectly held investments</w:t>
      </w:r>
      <w:r>
        <w:rPr>
          <w:rFonts w:ascii="Times New Roman" w:hAnsi="Times New Roman"/>
          <w:color w:val="000000"/>
          <w:sz w:val="24"/>
          <w:szCs w:val="24"/>
        </w:rPr>
        <w:t>:</w:t>
      </w:r>
      <w:r w:rsidR="00347C2E">
        <w:rPr>
          <w:rFonts w:ascii="Times New Roman" w:hAnsi="Times New Roman"/>
          <w:color w:val="000000"/>
          <w:sz w:val="24"/>
          <w:szCs w:val="24"/>
        </w:rPr>
        <w:t xml:space="preserve"> </w:t>
      </w:r>
      <w:r w:rsidR="009E27EC">
        <w:rPr>
          <w:rFonts w:ascii="Times New Roman" w:hAnsi="Times New Roman"/>
          <w:sz w:val="24"/>
          <w:szCs w:val="24"/>
        </w:rPr>
        <w:t xml:space="preserve">report item 3 on a look though basis. </w:t>
      </w:r>
      <w:r w:rsidR="0078039A">
        <w:rPr>
          <w:rFonts w:ascii="Times New Roman" w:hAnsi="Times New Roman"/>
          <w:sz w:val="24"/>
          <w:szCs w:val="24"/>
        </w:rPr>
        <w:t>R</w:t>
      </w:r>
      <w:r w:rsidR="00DE4923" w:rsidRPr="00EA42E6">
        <w:rPr>
          <w:rFonts w:ascii="Times New Roman" w:hAnsi="Times New Roman"/>
          <w:sz w:val="24"/>
          <w:szCs w:val="24"/>
        </w:rPr>
        <w:t xml:space="preserve">eport </w:t>
      </w:r>
      <w:r w:rsidR="00D56520">
        <w:rPr>
          <w:rFonts w:ascii="Times New Roman" w:hAnsi="Times New Roman"/>
          <w:sz w:val="24"/>
          <w:szCs w:val="24"/>
        </w:rPr>
        <w:t>item 3.1</w:t>
      </w:r>
      <w:r>
        <w:rPr>
          <w:rFonts w:ascii="Times New Roman" w:hAnsi="Times New Roman"/>
          <w:sz w:val="24"/>
          <w:szCs w:val="24"/>
        </w:rPr>
        <w:t xml:space="preserve">, </w:t>
      </w:r>
      <w:r w:rsidR="00D56520">
        <w:rPr>
          <w:rFonts w:ascii="Times New Roman" w:hAnsi="Times New Roman"/>
          <w:sz w:val="24"/>
          <w:szCs w:val="24"/>
        </w:rPr>
        <w:t>item 3.3</w:t>
      </w:r>
      <w:r>
        <w:rPr>
          <w:rFonts w:ascii="Times New Roman" w:hAnsi="Times New Roman"/>
          <w:sz w:val="24"/>
          <w:szCs w:val="24"/>
        </w:rPr>
        <w:t xml:space="preserve"> to </w:t>
      </w:r>
      <w:r w:rsidR="00D56520">
        <w:rPr>
          <w:rFonts w:ascii="Times New Roman" w:hAnsi="Times New Roman"/>
          <w:sz w:val="24"/>
          <w:szCs w:val="24"/>
        </w:rPr>
        <w:t>item 3.6</w:t>
      </w:r>
      <w:r>
        <w:rPr>
          <w:rFonts w:ascii="Times New Roman" w:hAnsi="Times New Roman"/>
          <w:sz w:val="24"/>
          <w:szCs w:val="24"/>
        </w:rPr>
        <w:t xml:space="preserve"> inclusive </w:t>
      </w:r>
      <w:r w:rsidR="00DE4923" w:rsidRPr="00EA42E6">
        <w:rPr>
          <w:rFonts w:ascii="Times New Roman" w:hAnsi="Times New Roman"/>
          <w:sz w:val="24"/>
          <w:szCs w:val="24"/>
        </w:rPr>
        <w:t xml:space="preserve">with respect to </w:t>
      </w:r>
      <w:r w:rsidR="00347C2E">
        <w:rPr>
          <w:rFonts w:ascii="Times New Roman" w:hAnsi="Times New Roman"/>
          <w:sz w:val="24"/>
          <w:szCs w:val="24"/>
        </w:rPr>
        <w:t>unit</w:t>
      </w:r>
      <w:r>
        <w:rPr>
          <w:rFonts w:ascii="Times New Roman" w:hAnsi="Times New Roman"/>
          <w:sz w:val="24"/>
          <w:szCs w:val="24"/>
        </w:rPr>
        <w:t xml:space="preserve"> holdings in</w:t>
      </w:r>
      <w:r w:rsidR="00347C2E">
        <w:rPr>
          <w:rFonts w:ascii="Times New Roman" w:hAnsi="Times New Roman"/>
          <w:sz w:val="24"/>
          <w:szCs w:val="24"/>
        </w:rPr>
        <w:t xml:space="preserve"> the</w:t>
      </w:r>
      <w:r w:rsidR="00DE4923" w:rsidRPr="00EA42E6">
        <w:rPr>
          <w:rFonts w:ascii="Times New Roman" w:hAnsi="Times New Roman"/>
          <w:sz w:val="24"/>
          <w:szCs w:val="24"/>
        </w:rPr>
        <w:t xml:space="preserve"> inve</w:t>
      </w:r>
      <w:r w:rsidR="00347C2E">
        <w:rPr>
          <w:rFonts w:ascii="Times New Roman" w:hAnsi="Times New Roman"/>
          <w:sz w:val="24"/>
          <w:szCs w:val="24"/>
        </w:rPr>
        <w:t>stment vehicle</w:t>
      </w:r>
      <w:r>
        <w:rPr>
          <w:rFonts w:ascii="Times New Roman" w:hAnsi="Times New Roman"/>
          <w:sz w:val="24"/>
          <w:szCs w:val="24"/>
        </w:rPr>
        <w:t xml:space="preserve">, as reported </w:t>
      </w:r>
      <w:r>
        <w:rPr>
          <w:rFonts w:ascii="Times New Roman" w:hAnsi="Times New Roman"/>
          <w:sz w:val="24"/>
          <w:szCs w:val="24"/>
        </w:rPr>
        <w:lastRenderedPageBreak/>
        <w:t>by the investment vehicle</w:t>
      </w:r>
      <w:r w:rsidR="00347C2E">
        <w:rPr>
          <w:rFonts w:ascii="Times New Roman" w:hAnsi="Times New Roman"/>
          <w:sz w:val="24"/>
          <w:szCs w:val="24"/>
        </w:rPr>
        <w:t xml:space="preserve">; report </w:t>
      </w:r>
      <w:r w:rsidR="00D56520">
        <w:rPr>
          <w:rFonts w:ascii="Times New Roman" w:hAnsi="Times New Roman"/>
          <w:sz w:val="24"/>
          <w:szCs w:val="24"/>
        </w:rPr>
        <w:t>item 3.2</w:t>
      </w:r>
      <w:r w:rsidR="00DE4923" w:rsidRPr="00EA42E6">
        <w:rPr>
          <w:rFonts w:ascii="Times New Roman" w:hAnsi="Times New Roman"/>
          <w:sz w:val="24"/>
          <w:szCs w:val="24"/>
        </w:rPr>
        <w:t xml:space="preserve"> with respect to income from </w:t>
      </w:r>
      <w:r w:rsidR="00347C2E">
        <w:rPr>
          <w:rFonts w:ascii="Times New Roman" w:hAnsi="Times New Roman"/>
          <w:sz w:val="24"/>
          <w:szCs w:val="24"/>
        </w:rPr>
        <w:t>the</w:t>
      </w:r>
      <w:r w:rsidR="00DE4923" w:rsidRPr="00EA42E6">
        <w:rPr>
          <w:rFonts w:ascii="Times New Roman" w:hAnsi="Times New Roman"/>
          <w:sz w:val="24"/>
          <w:szCs w:val="24"/>
        </w:rPr>
        <w:t xml:space="preserve"> inve</w:t>
      </w:r>
      <w:r w:rsidR="00347C2E">
        <w:rPr>
          <w:rFonts w:ascii="Times New Roman" w:hAnsi="Times New Roman"/>
          <w:sz w:val="24"/>
          <w:szCs w:val="24"/>
        </w:rPr>
        <w:t>stment vehicle</w:t>
      </w:r>
      <w:r w:rsidR="00DE4923" w:rsidRPr="00EA42E6">
        <w:rPr>
          <w:rFonts w:ascii="Times New Roman" w:hAnsi="Times New Roman"/>
          <w:sz w:val="24"/>
          <w:szCs w:val="24"/>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0"/>
      </w:tblGrid>
      <w:tr w:rsidR="0081430D" w:rsidRPr="00CF07C1" w:rsidTr="003A0B11">
        <w:tc>
          <w:tcPr>
            <w:tcW w:w="1701" w:type="dxa"/>
          </w:tcPr>
          <w:p w:rsidR="0081430D" w:rsidRPr="00CF07C1" w:rsidRDefault="0081430D" w:rsidP="0081430D">
            <w:pPr>
              <w:spacing w:before="120" w:after="120"/>
              <w:jc w:val="both"/>
              <w:rPr>
                <w:rFonts w:ascii="Times New Roman" w:hAnsi="Times New Roman"/>
                <w:b/>
                <w:sz w:val="24"/>
                <w:szCs w:val="24"/>
              </w:rPr>
            </w:pPr>
            <w:r w:rsidRPr="00CF07C1">
              <w:rPr>
                <w:rFonts w:ascii="Times New Roman" w:hAnsi="Times New Roman"/>
                <w:b/>
                <w:sz w:val="24"/>
                <w:szCs w:val="24"/>
              </w:rPr>
              <w:t xml:space="preserve">Item </w:t>
            </w:r>
            <w:r>
              <w:rPr>
                <w:rFonts w:ascii="Times New Roman" w:hAnsi="Times New Roman"/>
                <w:b/>
                <w:sz w:val="24"/>
                <w:szCs w:val="24"/>
              </w:rPr>
              <w:t>3</w:t>
            </w:r>
          </w:p>
        </w:tc>
        <w:tc>
          <w:tcPr>
            <w:tcW w:w="7370" w:type="dxa"/>
          </w:tcPr>
          <w:p w:rsidR="00CB235F" w:rsidRDefault="00CB235F" w:rsidP="00CB235F">
            <w:pPr>
              <w:spacing w:before="120" w:after="120"/>
              <w:jc w:val="both"/>
              <w:rPr>
                <w:rFonts w:ascii="Times New Roman" w:hAnsi="Times New Roman"/>
                <w:sz w:val="24"/>
                <w:szCs w:val="24"/>
              </w:rPr>
            </w:pPr>
            <w:r>
              <w:rPr>
                <w:rFonts w:ascii="Times New Roman" w:hAnsi="Times New Roman"/>
                <w:sz w:val="24"/>
                <w:szCs w:val="24"/>
              </w:rPr>
              <w:t xml:space="preserve">When reporting item 3, report the movements in investments in </w:t>
            </w:r>
            <w:r w:rsidR="00D56520">
              <w:rPr>
                <w:rFonts w:ascii="Times New Roman" w:hAnsi="Times New Roman"/>
                <w:sz w:val="24"/>
                <w:szCs w:val="24"/>
              </w:rPr>
              <w:t>item 3.</w:t>
            </w:r>
            <w:r w:rsidR="00102B65">
              <w:rPr>
                <w:rFonts w:ascii="Times New Roman" w:hAnsi="Times New Roman"/>
                <w:sz w:val="24"/>
                <w:szCs w:val="24"/>
              </w:rPr>
              <w:t>2</w:t>
            </w:r>
            <w:r>
              <w:rPr>
                <w:rFonts w:ascii="Times New Roman" w:hAnsi="Times New Roman"/>
                <w:sz w:val="24"/>
                <w:szCs w:val="24"/>
              </w:rPr>
              <w:t xml:space="preserve"> to </w:t>
            </w:r>
            <w:r w:rsidR="00D56520">
              <w:rPr>
                <w:rFonts w:ascii="Times New Roman" w:hAnsi="Times New Roman"/>
                <w:sz w:val="24"/>
                <w:szCs w:val="24"/>
              </w:rPr>
              <w:t>item 3.6</w:t>
            </w:r>
            <w:r>
              <w:rPr>
                <w:rFonts w:ascii="Times New Roman" w:hAnsi="Times New Roman"/>
                <w:sz w:val="24"/>
                <w:szCs w:val="24"/>
              </w:rPr>
              <w:t xml:space="preserve"> inclusive in relation to the movements in investments underlying</w:t>
            </w:r>
            <w:r w:rsidR="00F45AA4">
              <w:rPr>
                <w:rFonts w:ascii="Times New Roman" w:hAnsi="Times New Roman"/>
                <w:sz w:val="24"/>
                <w:szCs w:val="24"/>
              </w:rPr>
              <w:t xml:space="preserve"> </w:t>
            </w:r>
            <w:r w:rsidR="00D56520">
              <w:rPr>
                <w:rFonts w:ascii="Times New Roman" w:hAnsi="Times New Roman"/>
                <w:sz w:val="24"/>
                <w:szCs w:val="24"/>
              </w:rPr>
              <w:t>the select investment option</w:t>
            </w:r>
            <w:r>
              <w:rPr>
                <w:rFonts w:ascii="Times New Roman" w:hAnsi="Times New Roman"/>
                <w:sz w:val="24"/>
                <w:szCs w:val="24"/>
              </w:rPr>
              <w:t>.</w:t>
            </w:r>
          </w:p>
          <w:p w:rsidR="005B0524" w:rsidRDefault="0081430D" w:rsidP="005B0524">
            <w:pPr>
              <w:spacing w:before="120" w:after="120"/>
              <w:jc w:val="both"/>
              <w:rPr>
                <w:rFonts w:ascii="Times New Roman" w:hAnsi="Times New Roman"/>
                <w:sz w:val="24"/>
                <w:szCs w:val="24"/>
              </w:rPr>
            </w:pPr>
            <w:r w:rsidRPr="0022270B">
              <w:rPr>
                <w:rFonts w:ascii="Times New Roman" w:hAnsi="Times New Roman"/>
                <w:sz w:val="24"/>
                <w:szCs w:val="24"/>
              </w:rPr>
              <w:t>Report</w:t>
            </w:r>
            <w:r w:rsidR="006019DB">
              <w:rPr>
                <w:rFonts w:ascii="Times New Roman" w:hAnsi="Times New Roman"/>
                <w:sz w:val="24"/>
                <w:szCs w:val="24"/>
              </w:rPr>
              <w:t xml:space="preserve"> </w:t>
            </w:r>
            <w:r>
              <w:rPr>
                <w:rFonts w:ascii="Times New Roman" w:hAnsi="Times New Roman"/>
                <w:sz w:val="24"/>
                <w:szCs w:val="24"/>
              </w:rPr>
              <w:t>the</w:t>
            </w:r>
            <w:r w:rsidR="00AA3052">
              <w:rPr>
                <w:rFonts w:ascii="Times New Roman" w:hAnsi="Times New Roman"/>
                <w:sz w:val="24"/>
                <w:szCs w:val="24"/>
              </w:rPr>
              <w:t xml:space="preserve"> total</w:t>
            </w:r>
            <w:r>
              <w:rPr>
                <w:rFonts w:ascii="Times New Roman" w:hAnsi="Times New Roman"/>
                <w:sz w:val="24"/>
                <w:szCs w:val="24"/>
              </w:rPr>
              <w:t xml:space="preserve"> </w:t>
            </w:r>
            <w:r w:rsidR="005B0524" w:rsidRPr="00050E15">
              <w:rPr>
                <w:rFonts w:ascii="Times New Roman" w:hAnsi="Times New Roman"/>
                <w:b/>
                <w:i/>
                <w:sz w:val="24"/>
                <w:szCs w:val="24"/>
              </w:rPr>
              <w:t>net transactions</w:t>
            </w:r>
            <w:r>
              <w:rPr>
                <w:rFonts w:ascii="Times New Roman" w:hAnsi="Times New Roman"/>
                <w:sz w:val="24"/>
                <w:szCs w:val="24"/>
              </w:rPr>
              <w:t xml:space="preserve"> </w:t>
            </w:r>
            <w:r w:rsidR="00AA3052">
              <w:rPr>
                <w:rFonts w:ascii="Times New Roman" w:hAnsi="Times New Roman"/>
                <w:sz w:val="24"/>
                <w:szCs w:val="24"/>
              </w:rPr>
              <w:t>of</w:t>
            </w:r>
            <w:r w:rsidR="00F45AA4">
              <w:rPr>
                <w:rFonts w:ascii="Times New Roman" w:hAnsi="Times New Roman"/>
                <w:sz w:val="24"/>
                <w:szCs w:val="24"/>
              </w:rPr>
              <w:t xml:space="preserve"> the select investment option </w:t>
            </w:r>
            <w:r>
              <w:rPr>
                <w:rFonts w:ascii="Times New Roman" w:hAnsi="Times New Roman"/>
                <w:sz w:val="24"/>
                <w:szCs w:val="24"/>
              </w:rPr>
              <w:t xml:space="preserve"> </w:t>
            </w:r>
            <w:r w:rsidR="00F45AA4">
              <w:rPr>
                <w:rFonts w:ascii="Times New Roman" w:hAnsi="Times New Roman"/>
                <w:sz w:val="24"/>
                <w:szCs w:val="24"/>
              </w:rPr>
              <w:t xml:space="preserve"> </w:t>
            </w:r>
            <w:r>
              <w:rPr>
                <w:rFonts w:ascii="Times New Roman" w:hAnsi="Times New Roman"/>
                <w:sz w:val="24"/>
                <w:szCs w:val="24"/>
              </w:rPr>
              <w:t xml:space="preserve">in </w:t>
            </w:r>
            <w:r w:rsidR="00D56520">
              <w:rPr>
                <w:rFonts w:ascii="Times New Roman" w:hAnsi="Times New Roman"/>
                <w:sz w:val="24"/>
                <w:szCs w:val="24"/>
              </w:rPr>
              <w:t>item 3.1</w:t>
            </w:r>
            <w:r>
              <w:rPr>
                <w:rFonts w:ascii="Times New Roman" w:hAnsi="Times New Roman"/>
                <w:sz w:val="24"/>
                <w:szCs w:val="24"/>
              </w:rPr>
              <w:t>, the</w:t>
            </w:r>
            <w:r w:rsidR="00AA3052">
              <w:rPr>
                <w:rFonts w:ascii="Times New Roman" w:hAnsi="Times New Roman"/>
                <w:sz w:val="24"/>
                <w:szCs w:val="24"/>
              </w:rPr>
              <w:t xml:space="preserve"> total</w:t>
            </w:r>
            <w:r>
              <w:rPr>
                <w:rFonts w:ascii="Times New Roman" w:hAnsi="Times New Roman"/>
                <w:sz w:val="24"/>
                <w:szCs w:val="24"/>
              </w:rPr>
              <w:t xml:space="preserve"> </w:t>
            </w:r>
            <w:r w:rsidR="005B0524">
              <w:rPr>
                <w:rFonts w:ascii="Times New Roman" w:hAnsi="Times New Roman"/>
                <w:b/>
                <w:i/>
                <w:sz w:val="24"/>
                <w:szCs w:val="24"/>
              </w:rPr>
              <w:t xml:space="preserve">income </w:t>
            </w:r>
            <w:r w:rsidR="005B0524">
              <w:rPr>
                <w:rFonts w:ascii="Times New Roman" w:hAnsi="Times New Roman"/>
                <w:sz w:val="24"/>
                <w:szCs w:val="24"/>
              </w:rPr>
              <w:t xml:space="preserve">from the </w:t>
            </w:r>
            <w:r w:rsidR="00F45AA4">
              <w:rPr>
                <w:rFonts w:ascii="Times New Roman" w:hAnsi="Times New Roman"/>
                <w:sz w:val="24"/>
                <w:szCs w:val="24"/>
              </w:rPr>
              <w:t>investments underlying the select investment option</w:t>
            </w:r>
            <w:r>
              <w:rPr>
                <w:rFonts w:ascii="Times New Roman" w:hAnsi="Times New Roman"/>
                <w:sz w:val="24"/>
                <w:szCs w:val="24"/>
              </w:rPr>
              <w:t xml:space="preserve"> in </w:t>
            </w:r>
            <w:r w:rsidR="00D56520">
              <w:rPr>
                <w:rFonts w:ascii="Times New Roman" w:hAnsi="Times New Roman"/>
                <w:sz w:val="24"/>
                <w:szCs w:val="24"/>
              </w:rPr>
              <w:t>item 3.2</w:t>
            </w:r>
            <w:r w:rsidR="005B0524">
              <w:rPr>
                <w:rFonts w:ascii="Times New Roman" w:hAnsi="Times New Roman"/>
                <w:sz w:val="24"/>
                <w:szCs w:val="24"/>
              </w:rPr>
              <w:t>, the</w:t>
            </w:r>
            <w:r w:rsidR="00AA3052">
              <w:rPr>
                <w:rFonts w:ascii="Times New Roman" w:hAnsi="Times New Roman"/>
                <w:sz w:val="24"/>
                <w:szCs w:val="24"/>
              </w:rPr>
              <w:t xml:space="preserve"> total</w:t>
            </w:r>
            <w:r w:rsidR="005B0524">
              <w:rPr>
                <w:rFonts w:ascii="Times New Roman" w:hAnsi="Times New Roman"/>
                <w:sz w:val="24"/>
                <w:szCs w:val="24"/>
              </w:rPr>
              <w:t xml:space="preserve"> </w:t>
            </w:r>
            <w:r w:rsidR="005B0524" w:rsidRPr="00050E15">
              <w:rPr>
                <w:rFonts w:ascii="Times New Roman" w:hAnsi="Times New Roman"/>
                <w:b/>
                <w:i/>
                <w:sz w:val="24"/>
                <w:szCs w:val="24"/>
              </w:rPr>
              <w:t>unrealised gains/losses</w:t>
            </w:r>
            <w:r w:rsidR="005B0524">
              <w:rPr>
                <w:rFonts w:ascii="Times New Roman" w:hAnsi="Times New Roman"/>
                <w:sz w:val="24"/>
                <w:szCs w:val="24"/>
              </w:rPr>
              <w:t xml:space="preserve"> of the </w:t>
            </w:r>
            <w:r w:rsidR="00F45AA4">
              <w:rPr>
                <w:rFonts w:ascii="Times New Roman" w:hAnsi="Times New Roman"/>
                <w:sz w:val="24"/>
                <w:szCs w:val="24"/>
              </w:rPr>
              <w:t>investments underlying the select investment option</w:t>
            </w:r>
            <w:r w:rsidR="005B0524">
              <w:rPr>
                <w:rFonts w:ascii="Times New Roman" w:hAnsi="Times New Roman"/>
                <w:sz w:val="24"/>
                <w:szCs w:val="24"/>
              </w:rPr>
              <w:t xml:space="preserve"> in </w:t>
            </w:r>
            <w:r w:rsidR="00D56520">
              <w:rPr>
                <w:rFonts w:ascii="Times New Roman" w:hAnsi="Times New Roman"/>
                <w:sz w:val="24"/>
                <w:szCs w:val="24"/>
              </w:rPr>
              <w:t>item 3.3</w:t>
            </w:r>
            <w:r w:rsidR="005B0524">
              <w:rPr>
                <w:rFonts w:ascii="Times New Roman" w:hAnsi="Times New Roman"/>
                <w:sz w:val="24"/>
                <w:szCs w:val="24"/>
              </w:rPr>
              <w:t>, the</w:t>
            </w:r>
            <w:r w:rsidR="00AA3052">
              <w:rPr>
                <w:rFonts w:ascii="Times New Roman" w:hAnsi="Times New Roman"/>
                <w:sz w:val="24"/>
                <w:szCs w:val="24"/>
              </w:rPr>
              <w:t xml:space="preserve"> total</w:t>
            </w:r>
            <w:r w:rsidR="005B0524">
              <w:rPr>
                <w:rFonts w:ascii="Times New Roman" w:hAnsi="Times New Roman"/>
                <w:sz w:val="24"/>
                <w:szCs w:val="24"/>
              </w:rPr>
              <w:t xml:space="preserve"> </w:t>
            </w:r>
            <w:r w:rsidR="005B0524" w:rsidRPr="00050E15">
              <w:rPr>
                <w:rFonts w:ascii="Times New Roman" w:hAnsi="Times New Roman"/>
                <w:b/>
                <w:i/>
                <w:sz w:val="24"/>
                <w:szCs w:val="24"/>
              </w:rPr>
              <w:t>realised gains/losses</w:t>
            </w:r>
            <w:r w:rsidR="005B0524">
              <w:rPr>
                <w:rFonts w:ascii="Times New Roman" w:hAnsi="Times New Roman"/>
                <w:sz w:val="24"/>
                <w:szCs w:val="24"/>
              </w:rPr>
              <w:t xml:space="preserve"> of the </w:t>
            </w:r>
            <w:r w:rsidR="00F45AA4">
              <w:rPr>
                <w:rFonts w:ascii="Times New Roman" w:hAnsi="Times New Roman"/>
                <w:sz w:val="24"/>
                <w:szCs w:val="24"/>
              </w:rPr>
              <w:t>investments underlying the select investment option</w:t>
            </w:r>
            <w:r w:rsidR="005B0524">
              <w:rPr>
                <w:rFonts w:ascii="Times New Roman" w:hAnsi="Times New Roman"/>
                <w:sz w:val="24"/>
                <w:szCs w:val="24"/>
              </w:rPr>
              <w:t xml:space="preserve"> in </w:t>
            </w:r>
            <w:r w:rsidR="00D56520">
              <w:rPr>
                <w:rFonts w:ascii="Times New Roman" w:hAnsi="Times New Roman"/>
                <w:sz w:val="24"/>
                <w:szCs w:val="24"/>
              </w:rPr>
              <w:t>item 3.4</w:t>
            </w:r>
            <w:r w:rsidR="005B0524">
              <w:rPr>
                <w:rFonts w:ascii="Times New Roman" w:hAnsi="Times New Roman"/>
                <w:sz w:val="24"/>
                <w:szCs w:val="24"/>
              </w:rPr>
              <w:t xml:space="preserve">, the </w:t>
            </w:r>
            <w:r w:rsidR="005B0524" w:rsidRPr="005B0524">
              <w:rPr>
                <w:rFonts w:ascii="Times New Roman" w:hAnsi="Times New Roman"/>
                <w:sz w:val="24"/>
                <w:szCs w:val="24"/>
              </w:rPr>
              <w:t>total gains/losses</w:t>
            </w:r>
            <w:r w:rsidR="005B0524">
              <w:rPr>
                <w:rFonts w:ascii="Times New Roman" w:hAnsi="Times New Roman"/>
                <w:sz w:val="24"/>
                <w:szCs w:val="24"/>
              </w:rPr>
              <w:t xml:space="preserve"> of the </w:t>
            </w:r>
            <w:r w:rsidR="00F45AA4">
              <w:rPr>
                <w:rFonts w:ascii="Times New Roman" w:hAnsi="Times New Roman"/>
                <w:sz w:val="24"/>
                <w:szCs w:val="24"/>
              </w:rPr>
              <w:t>investments underlying the select investment option</w:t>
            </w:r>
            <w:r w:rsidR="005B0524">
              <w:rPr>
                <w:rFonts w:ascii="Times New Roman" w:hAnsi="Times New Roman"/>
                <w:sz w:val="24"/>
                <w:szCs w:val="24"/>
              </w:rPr>
              <w:t xml:space="preserve"> in </w:t>
            </w:r>
            <w:r w:rsidR="00D56520">
              <w:rPr>
                <w:rFonts w:ascii="Times New Roman" w:hAnsi="Times New Roman"/>
                <w:sz w:val="24"/>
                <w:szCs w:val="24"/>
              </w:rPr>
              <w:t>item 3.5</w:t>
            </w:r>
            <w:r w:rsidR="005B0524">
              <w:rPr>
                <w:rFonts w:ascii="Times New Roman" w:hAnsi="Times New Roman"/>
                <w:sz w:val="24"/>
                <w:szCs w:val="24"/>
              </w:rPr>
              <w:t xml:space="preserve"> and the portion of</w:t>
            </w:r>
            <w:r w:rsidR="005B0524" w:rsidRPr="005B0524">
              <w:rPr>
                <w:rFonts w:ascii="Times New Roman" w:hAnsi="Times New Roman"/>
                <w:sz w:val="24"/>
                <w:szCs w:val="24"/>
              </w:rPr>
              <w:t xml:space="preserve"> total gains/losses</w:t>
            </w:r>
            <w:r w:rsidR="005B0524">
              <w:rPr>
                <w:rFonts w:ascii="Times New Roman" w:hAnsi="Times New Roman"/>
                <w:sz w:val="24"/>
                <w:szCs w:val="24"/>
              </w:rPr>
              <w:t xml:space="preserve"> that are </w:t>
            </w:r>
            <w:r w:rsidR="005B0524" w:rsidRPr="00050E15">
              <w:rPr>
                <w:rFonts w:ascii="Times New Roman" w:hAnsi="Times New Roman"/>
                <w:b/>
                <w:i/>
                <w:sz w:val="24"/>
                <w:szCs w:val="24"/>
              </w:rPr>
              <w:t>foreign exchange gains/losses</w:t>
            </w:r>
            <w:r w:rsidR="005B0524">
              <w:rPr>
                <w:rFonts w:ascii="Times New Roman" w:hAnsi="Times New Roman"/>
                <w:sz w:val="24"/>
                <w:szCs w:val="24"/>
              </w:rPr>
              <w:t xml:space="preserve"> in </w:t>
            </w:r>
            <w:r w:rsidR="00D56520">
              <w:rPr>
                <w:rFonts w:ascii="Times New Roman" w:hAnsi="Times New Roman"/>
                <w:sz w:val="24"/>
                <w:szCs w:val="24"/>
              </w:rPr>
              <w:t>item 3.6</w:t>
            </w:r>
            <w:r w:rsidR="005B0524">
              <w:rPr>
                <w:rFonts w:ascii="Times New Roman" w:hAnsi="Times New Roman"/>
                <w:sz w:val="24"/>
                <w:szCs w:val="24"/>
              </w:rPr>
              <w:t>.</w:t>
            </w:r>
          </w:p>
          <w:p w:rsidR="00C71754" w:rsidRPr="00C71754" w:rsidRDefault="00D56520" w:rsidP="00207344">
            <w:pPr>
              <w:spacing w:before="120" w:after="120"/>
              <w:jc w:val="both"/>
              <w:rPr>
                <w:rFonts w:ascii="Times New Roman" w:hAnsi="Times New Roman"/>
                <w:sz w:val="24"/>
                <w:szCs w:val="24"/>
              </w:rPr>
            </w:pPr>
            <w:r>
              <w:rPr>
                <w:rFonts w:ascii="Times New Roman" w:hAnsi="Times New Roman"/>
                <w:sz w:val="24"/>
                <w:szCs w:val="24"/>
              </w:rPr>
              <w:t>Item 3.5</w:t>
            </w:r>
            <w:r w:rsidR="00C71754">
              <w:rPr>
                <w:rFonts w:ascii="Times New Roman" w:hAnsi="Times New Roman"/>
                <w:sz w:val="24"/>
                <w:szCs w:val="24"/>
              </w:rPr>
              <w:t xml:space="preserve"> is a derived item. Report the </w:t>
            </w:r>
            <w:r w:rsidR="00C71754" w:rsidRPr="005B0524">
              <w:rPr>
                <w:rFonts w:ascii="Times New Roman" w:hAnsi="Times New Roman"/>
                <w:sz w:val="24"/>
                <w:szCs w:val="24"/>
              </w:rPr>
              <w:t>total gains/losses</w:t>
            </w:r>
            <w:r w:rsidR="00C71754">
              <w:rPr>
                <w:rFonts w:ascii="Times New Roman" w:hAnsi="Times New Roman"/>
                <w:sz w:val="24"/>
                <w:szCs w:val="24"/>
              </w:rPr>
              <w:t xml:space="preserve"> of the </w:t>
            </w:r>
            <w:r w:rsidR="00F45AA4">
              <w:rPr>
                <w:rFonts w:ascii="Times New Roman" w:hAnsi="Times New Roman"/>
                <w:sz w:val="24"/>
                <w:szCs w:val="24"/>
              </w:rPr>
              <w:t>investments underlying the select investment option</w:t>
            </w:r>
            <w:r w:rsidR="00C71754">
              <w:rPr>
                <w:rFonts w:ascii="Times New Roman" w:hAnsi="Times New Roman"/>
                <w:sz w:val="24"/>
                <w:szCs w:val="24"/>
              </w:rPr>
              <w:t xml:space="preserve"> in </w:t>
            </w:r>
            <w:r w:rsidR="00390CCC">
              <w:rPr>
                <w:rFonts w:ascii="Times New Roman" w:hAnsi="Times New Roman"/>
                <w:sz w:val="24"/>
                <w:szCs w:val="24"/>
              </w:rPr>
              <w:t>item 3.5</w:t>
            </w:r>
            <w:r w:rsidR="00C71754">
              <w:rPr>
                <w:rFonts w:ascii="Times New Roman" w:hAnsi="Times New Roman"/>
                <w:sz w:val="24"/>
                <w:szCs w:val="24"/>
              </w:rPr>
              <w:t xml:space="preserve"> as the sum of</w:t>
            </w:r>
            <w:r w:rsidR="00AA3052">
              <w:rPr>
                <w:rFonts w:ascii="Times New Roman" w:hAnsi="Times New Roman"/>
                <w:sz w:val="24"/>
                <w:szCs w:val="24"/>
              </w:rPr>
              <w:t xml:space="preserve"> total</w:t>
            </w:r>
            <w:r w:rsidR="00C71754">
              <w:rPr>
                <w:rFonts w:ascii="Times New Roman" w:hAnsi="Times New Roman"/>
                <w:sz w:val="24"/>
                <w:szCs w:val="24"/>
              </w:rPr>
              <w:t xml:space="preserve"> </w:t>
            </w:r>
            <w:r w:rsidR="00C71754" w:rsidRPr="00050E15">
              <w:rPr>
                <w:rFonts w:ascii="Times New Roman" w:hAnsi="Times New Roman"/>
                <w:b/>
                <w:i/>
                <w:sz w:val="24"/>
                <w:szCs w:val="24"/>
              </w:rPr>
              <w:t>unrealised gains/losses</w:t>
            </w:r>
            <w:r w:rsidR="00C71754">
              <w:rPr>
                <w:rFonts w:ascii="Times New Roman" w:hAnsi="Times New Roman"/>
                <w:sz w:val="24"/>
                <w:szCs w:val="24"/>
              </w:rPr>
              <w:t xml:space="preserve"> reported in </w:t>
            </w:r>
            <w:r w:rsidR="00390CCC">
              <w:rPr>
                <w:rFonts w:ascii="Times New Roman" w:hAnsi="Times New Roman"/>
                <w:sz w:val="24"/>
                <w:szCs w:val="24"/>
              </w:rPr>
              <w:t>item 3.3</w:t>
            </w:r>
            <w:r w:rsidR="00C71754">
              <w:rPr>
                <w:rFonts w:ascii="Times New Roman" w:hAnsi="Times New Roman"/>
                <w:sz w:val="24"/>
                <w:szCs w:val="24"/>
              </w:rPr>
              <w:t xml:space="preserve"> and</w:t>
            </w:r>
            <w:r w:rsidR="00AA3052">
              <w:rPr>
                <w:rFonts w:ascii="Times New Roman" w:hAnsi="Times New Roman"/>
                <w:sz w:val="24"/>
                <w:szCs w:val="24"/>
              </w:rPr>
              <w:t xml:space="preserve"> total</w:t>
            </w:r>
            <w:r w:rsidR="00C71754">
              <w:rPr>
                <w:rFonts w:ascii="Times New Roman" w:hAnsi="Times New Roman"/>
                <w:sz w:val="24"/>
                <w:szCs w:val="24"/>
              </w:rPr>
              <w:t xml:space="preserve"> </w:t>
            </w:r>
            <w:r w:rsidR="00C71754" w:rsidRPr="00050E15">
              <w:rPr>
                <w:rFonts w:ascii="Times New Roman" w:hAnsi="Times New Roman"/>
                <w:b/>
                <w:i/>
                <w:sz w:val="24"/>
                <w:szCs w:val="24"/>
              </w:rPr>
              <w:t>realised gains/losses</w:t>
            </w:r>
            <w:r w:rsidR="00C71754">
              <w:rPr>
                <w:rFonts w:ascii="Times New Roman" w:hAnsi="Times New Roman"/>
                <w:sz w:val="24"/>
                <w:szCs w:val="24"/>
              </w:rPr>
              <w:t xml:space="preserve"> reported in </w:t>
            </w:r>
            <w:r w:rsidR="00390CCC">
              <w:rPr>
                <w:rFonts w:ascii="Times New Roman" w:hAnsi="Times New Roman"/>
                <w:sz w:val="24"/>
                <w:szCs w:val="24"/>
              </w:rPr>
              <w:t>item 3.4</w:t>
            </w:r>
            <w:r w:rsidR="00C71754">
              <w:rPr>
                <w:rFonts w:ascii="Times New Roman" w:hAnsi="Times New Roman"/>
                <w:sz w:val="24"/>
                <w:szCs w:val="24"/>
              </w:rPr>
              <w:t>.</w:t>
            </w:r>
          </w:p>
          <w:p w:rsidR="0081430D" w:rsidRPr="00970DFD" w:rsidRDefault="0081430D">
            <w:pPr>
              <w:spacing w:before="120" w:after="120"/>
              <w:jc w:val="both"/>
              <w:rPr>
                <w:rFonts w:ascii="Times New Roman" w:hAnsi="Times New Roman"/>
                <w:color w:val="000000"/>
                <w:sz w:val="24"/>
                <w:szCs w:val="24"/>
              </w:rPr>
            </w:pPr>
          </w:p>
        </w:tc>
      </w:tr>
      <w:tr w:rsidR="005B0524" w:rsidRPr="00CF07C1" w:rsidTr="003A0B11">
        <w:tc>
          <w:tcPr>
            <w:tcW w:w="1701" w:type="dxa"/>
          </w:tcPr>
          <w:p w:rsidR="005B0524" w:rsidRPr="00050E15" w:rsidRDefault="005B0524" w:rsidP="003A0B11">
            <w:pPr>
              <w:spacing w:before="120" w:after="120"/>
              <w:rPr>
                <w:rFonts w:ascii="Times New Roman" w:hAnsi="Times New Roman"/>
                <w:b/>
                <w:i/>
                <w:sz w:val="24"/>
                <w:szCs w:val="24"/>
              </w:rPr>
            </w:pPr>
            <w:r w:rsidRPr="00050E15">
              <w:rPr>
                <w:rFonts w:ascii="Times New Roman" w:hAnsi="Times New Roman"/>
                <w:b/>
                <w:i/>
                <w:color w:val="000000"/>
                <w:sz w:val="24"/>
                <w:szCs w:val="24"/>
              </w:rPr>
              <w:t>Net transactions</w:t>
            </w:r>
          </w:p>
        </w:tc>
        <w:tc>
          <w:tcPr>
            <w:tcW w:w="7370" w:type="dxa"/>
          </w:tcPr>
          <w:p w:rsidR="005B0524" w:rsidRPr="00CF07C1" w:rsidRDefault="005B0524" w:rsidP="005B0524">
            <w:pPr>
              <w:spacing w:before="120" w:after="120"/>
              <w:jc w:val="both"/>
              <w:rPr>
                <w:rFonts w:ascii="Times New Roman" w:hAnsi="Times New Roman"/>
                <w:sz w:val="24"/>
                <w:szCs w:val="24"/>
              </w:rPr>
            </w:pPr>
            <w:r w:rsidRPr="00E56C5B">
              <w:rPr>
                <w:rFonts w:ascii="Times New Roman" w:hAnsi="Times New Roman"/>
                <w:color w:val="000000"/>
                <w:sz w:val="24"/>
                <w:szCs w:val="24"/>
              </w:rPr>
              <w:t>Represents the net of all acquisition and disposal transactions, which involve the exchange of valuable consideration between counterparties.</w:t>
            </w:r>
          </w:p>
        </w:tc>
      </w:tr>
      <w:tr w:rsidR="00F96C99" w:rsidRPr="00CF07C1" w:rsidTr="003A0B11">
        <w:tc>
          <w:tcPr>
            <w:tcW w:w="1701" w:type="dxa"/>
          </w:tcPr>
          <w:p w:rsidR="00F96C99" w:rsidRPr="005B0524" w:rsidRDefault="00F96C99" w:rsidP="003A0B11">
            <w:pPr>
              <w:spacing w:before="120" w:after="120"/>
              <w:rPr>
                <w:rFonts w:ascii="Times New Roman" w:hAnsi="Times New Roman"/>
                <w:b/>
                <w:i/>
                <w:sz w:val="24"/>
                <w:szCs w:val="24"/>
              </w:rPr>
            </w:pPr>
            <w:r w:rsidRPr="005B0524">
              <w:rPr>
                <w:rFonts w:ascii="Times New Roman" w:hAnsi="Times New Roman"/>
                <w:b/>
                <w:i/>
                <w:sz w:val="24"/>
                <w:szCs w:val="24"/>
              </w:rPr>
              <w:t>Investment income</w:t>
            </w:r>
          </w:p>
        </w:tc>
        <w:tc>
          <w:tcPr>
            <w:tcW w:w="7370" w:type="dxa"/>
          </w:tcPr>
          <w:p w:rsidR="00F96C99" w:rsidRDefault="00F96C99" w:rsidP="00EA44DB">
            <w:pPr>
              <w:spacing w:before="120" w:after="120"/>
              <w:jc w:val="both"/>
              <w:rPr>
                <w:rFonts w:ascii="Times New Roman" w:hAnsi="Times New Roman"/>
                <w:sz w:val="24"/>
                <w:szCs w:val="24"/>
              </w:rPr>
            </w:pPr>
            <w:r>
              <w:rPr>
                <w:rFonts w:ascii="Times New Roman" w:hAnsi="Times New Roman"/>
                <w:sz w:val="24"/>
                <w:szCs w:val="24"/>
              </w:rPr>
              <w:t>Represents gross revenue in the form of income or distributions from investments. Includes: interest, dividends, rental income, trust distributions.</w:t>
            </w:r>
          </w:p>
        </w:tc>
      </w:tr>
      <w:tr w:rsidR="00F96C99" w:rsidRPr="00CF07C1" w:rsidTr="003A0B11">
        <w:tc>
          <w:tcPr>
            <w:tcW w:w="1701" w:type="dxa"/>
          </w:tcPr>
          <w:p w:rsidR="00F96C99" w:rsidRPr="00050E15" w:rsidRDefault="00F96C99" w:rsidP="003A0B11">
            <w:pPr>
              <w:spacing w:before="120" w:after="120"/>
              <w:rPr>
                <w:rFonts w:ascii="Times New Roman" w:hAnsi="Times New Roman"/>
                <w:b/>
                <w:i/>
                <w:sz w:val="24"/>
                <w:szCs w:val="24"/>
              </w:rPr>
            </w:pPr>
            <w:r w:rsidRPr="00050E15">
              <w:rPr>
                <w:rFonts w:ascii="Times New Roman" w:hAnsi="Times New Roman"/>
                <w:b/>
                <w:i/>
                <w:color w:val="000000"/>
                <w:sz w:val="24"/>
                <w:szCs w:val="24"/>
              </w:rPr>
              <w:t>Unrealised gains/losses</w:t>
            </w:r>
          </w:p>
        </w:tc>
        <w:tc>
          <w:tcPr>
            <w:tcW w:w="7370" w:type="dxa"/>
          </w:tcPr>
          <w:p w:rsidR="00F96C99" w:rsidRPr="00CF07C1" w:rsidRDefault="00F96C99" w:rsidP="00172777">
            <w:pPr>
              <w:spacing w:before="120" w:after="120"/>
              <w:jc w:val="both"/>
              <w:rPr>
                <w:rFonts w:ascii="Times New Roman" w:hAnsi="Times New Roman"/>
                <w:sz w:val="24"/>
                <w:szCs w:val="24"/>
              </w:rPr>
            </w:pPr>
            <w:r w:rsidRPr="00E56C5B">
              <w:rPr>
                <w:rFonts w:ascii="Times New Roman" w:hAnsi="Times New Roman"/>
                <w:color w:val="000000"/>
                <w:sz w:val="24"/>
                <w:szCs w:val="24"/>
              </w:rPr>
              <w:t xml:space="preserve">Represents changes in </w:t>
            </w:r>
            <w:r w:rsidR="00172777">
              <w:rPr>
                <w:rFonts w:ascii="Times New Roman" w:hAnsi="Times New Roman"/>
                <w:color w:val="000000"/>
                <w:sz w:val="24"/>
                <w:szCs w:val="24"/>
              </w:rPr>
              <w:t xml:space="preserve">the value of </w:t>
            </w:r>
            <w:r w:rsidRPr="00E56C5B">
              <w:rPr>
                <w:rFonts w:ascii="Times New Roman" w:hAnsi="Times New Roman"/>
                <w:color w:val="000000"/>
                <w:sz w:val="24"/>
                <w:szCs w:val="24"/>
              </w:rPr>
              <w:t xml:space="preserve">investments as a result of remeasurement changes in the </w:t>
            </w:r>
            <w:r w:rsidR="00172777">
              <w:rPr>
                <w:rFonts w:ascii="Times New Roman" w:hAnsi="Times New Roman"/>
                <w:color w:val="000000"/>
                <w:sz w:val="24"/>
                <w:szCs w:val="24"/>
              </w:rPr>
              <w:t>market</w:t>
            </w:r>
            <w:r w:rsidR="00172777" w:rsidRPr="00E56C5B">
              <w:rPr>
                <w:rFonts w:ascii="Times New Roman" w:hAnsi="Times New Roman"/>
                <w:color w:val="000000"/>
                <w:sz w:val="24"/>
                <w:szCs w:val="24"/>
              </w:rPr>
              <w:t xml:space="preserve"> </w:t>
            </w:r>
            <w:r w:rsidRPr="00E56C5B">
              <w:rPr>
                <w:rFonts w:ascii="Times New Roman" w:hAnsi="Times New Roman"/>
                <w:color w:val="000000"/>
                <w:sz w:val="24"/>
                <w:szCs w:val="24"/>
              </w:rPr>
              <w:t xml:space="preserve">value of investments. </w:t>
            </w:r>
            <w:r w:rsidR="001E01CF" w:rsidRPr="001E01CF">
              <w:rPr>
                <w:rFonts w:ascii="Times New Roman" w:hAnsi="Times New Roman"/>
                <w:color w:val="000000"/>
                <w:sz w:val="24"/>
                <w:szCs w:val="24"/>
              </w:rPr>
              <w:t>Includes: impairment charges and provisions.</w:t>
            </w:r>
          </w:p>
        </w:tc>
      </w:tr>
      <w:tr w:rsidR="00F96C99" w:rsidRPr="00CF07C1" w:rsidTr="003A0B11">
        <w:tc>
          <w:tcPr>
            <w:tcW w:w="1701" w:type="dxa"/>
          </w:tcPr>
          <w:p w:rsidR="00F96C99" w:rsidRPr="00050E15" w:rsidRDefault="00F96C99" w:rsidP="003A0B11">
            <w:pPr>
              <w:spacing w:before="120" w:after="120"/>
              <w:rPr>
                <w:rFonts w:ascii="Times New Roman" w:hAnsi="Times New Roman"/>
                <w:b/>
                <w:i/>
                <w:sz w:val="24"/>
                <w:szCs w:val="24"/>
              </w:rPr>
            </w:pPr>
            <w:r w:rsidRPr="00050E15">
              <w:rPr>
                <w:rFonts w:ascii="Times New Roman" w:hAnsi="Times New Roman"/>
                <w:b/>
                <w:i/>
                <w:color w:val="000000"/>
                <w:sz w:val="24"/>
                <w:szCs w:val="24"/>
              </w:rPr>
              <w:t>Realised gains/losses</w:t>
            </w:r>
          </w:p>
        </w:tc>
        <w:tc>
          <w:tcPr>
            <w:tcW w:w="7370" w:type="dxa"/>
          </w:tcPr>
          <w:p w:rsidR="00F96C99" w:rsidRPr="00CF07C1" w:rsidRDefault="001E01CF" w:rsidP="002E712E">
            <w:pPr>
              <w:spacing w:before="120" w:after="120"/>
              <w:jc w:val="both"/>
              <w:rPr>
                <w:rFonts w:ascii="Times New Roman" w:hAnsi="Times New Roman"/>
                <w:sz w:val="24"/>
                <w:szCs w:val="24"/>
              </w:rPr>
            </w:pPr>
            <w:r w:rsidRPr="001E01CF">
              <w:rPr>
                <w:rFonts w:ascii="Times New Roman" w:hAnsi="Times New Roman"/>
                <w:color w:val="000000"/>
                <w:sz w:val="24"/>
                <w:szCs w:val="24"/>
              </w:rPr>
              <w:t>Represents changes in the value of investments as a result of closing or disposal of investments.</w:t>
            </w:r>
            <w:r w:rsidR="00F96C99">
              <w:rPr>
                <w:rFonts w:ascii="Times New Roman" w:hAnsi="Times New Roman"/>
                <w:color w:val="000000"/>
                <w:sz w:val="24"/>
                <w:szCs w:val="24"/>
              </w:rPr>
              <w:t xml:space="preserve"> </w:t>
            </w:r>
          </w:p>
        </w:tc>
      </w:tr>
      <w:tr w:rsidR="00F96C99" w:rsidRPr="00CF07C1" w:rsidTr="003A0B11">
        <w:tc>
          <w:tcPr>
            <w:tcW w:w="1701" w:type="dxa"/>
          </w:tcPr>
          <w:p w:rsidR="00F96C99" w:rsidRPr="00050E15" w:rsidRDefault="00F96C99" w:rsidP="003A0B11">
            <w:pPr>
              <w:spacing w:before="120" w:after="120"/>
              <w:rPr>
                <w:rFonts w:ascii="Times New Roman" w:hAnsi="Times New Roman"/>
                <w:b/>
                <w:i/>
                <w:sz w:val="24"/>
                <w:szCs w:val="24"/>
              </w:rPr>
            </w:pPr>
            <w:r w:rsidRPr="00050E15">
              <w:rPr>
                <w:rFonts w:ascii="Times New Roman" w:hAnsi="Times New Roman"/>
                <w:b/>
                <w:i/>
                <w:color w:val="000000"/>
                <w:sz w:val="24"/>
                <w:szCs w:val="24"/>
              </w:rPr>
              <w:t>Foreign exchange gains/losses</w:t>
            </w:r>
          </w:p>
        </w:tc>
        <w:tc>
          <w:tcPr>
            <w:tcW w:w="7370" w:type="dxa"/>
          </w:tcPr>
          <w:p w:rsidR="00F96C99" w:rsidRPr="00CF07C1" w:rsidRDefault="00F96C99" w:rsidP="002E712E">
            <w:pPr>
              <w:spacing w:before="120" w:after="120"/>
              <w:jc w:val="both"/>
              <w:rPr>
                <w:rFonts w:ascii="Times New Roman" w:hAnsi="Times New Roman"/>
                <w:sz w:val="24"/>
                <w:szCs w:val="24"/>
              </w:rPr>
            </w:pPr>
            <w:r>
              <w:rPr>
                <w:rFonts w:ascii="Times New Roman" w:hAnsi="Times New Roman"/>
                <w:sz w:val="24"/>
                <w:szCs w:val="24"/>
              </w:rPr>
              <w:t xml:space="preserve">Represents changes in </w:t>
            </w:r>
            <w:r w:rsidR="001E01CF" w:rsidRPr="001E01CF">
              <w:rPr>
                <w:rFonts w:ascii="Times New Roman" w:hAnsi="Times New Roman"/>
                <w:sz w:val="24"/>
                <w:szCs w:val="24"/>
              </w:rPr>
              <w:t xml:space="preserve">the value of </w:t>
            </w:r>
            <w:r>
              <w:rPr>
                <w:rFonts w:ascii="Times New Roman" w:hAnsi="Times New Roman"/>
                <w:sz w:val="24"/>
                <w:szCs w:val="24"/>
              </w:rPr>
              <w:t xml:space="preserve">investments as a result of unrealised and realised changes in </w:t>
            </w:r>
            <w:r w:rsidR="002E712E">
              <w:rPr>
                <w:rFonts w:ascii="Times New Roman" w:hAnsi="Times New Roman"/>
                <w:sz w:val="24"/>
                <w:szCs w:val="24"/>
              </w:rPr>
              <w:t xml:space="preserve">currency exchange </w:t>
            </w:r>
            <w:r>
              <w:rPr>
                <w:rFonts w:ascii="Times New Roman" w:hAnsi="Times New Roman"/>
                <w:sz w:val="24"/>
                <w:szCs w:val="24"/>
              </w:rPr>
              <w:t>rates which are used to translate or value investments.</w:t>
            </w:r>
          </w:p>
        </w:tc>
      </w:tr>
    </w:tbl>
    <w:p w:rsidR="00390CCC" w:rsidRDefault="00390CCC" w:rsidP="00390CCC">
      <w:pPr>
        <w:spacing w:after="240"/>
        <w:jc w:val="both"/>
        <w:rPr>
          <w:rFonts w:ascii="Arial" w:hAnsi="Arial" w:cs="Arial"/>
          <w:b/>
          <w:sz w:val="24"/>
          <w:szCs w:val="24"/>
        </w:rPr>
      </w:pPr>
    </w:p>
    <w:p w:rsidR="00390CCC" w:rsidRDefault="00390CCC" w:rsidP="00390CCC">
      <w:pPr>
        <w:spacing w:after="240"/>
        <w:jc w:val="both"/>
        <w:rPr>
          <w:rFonts w:ascii="Arial" w:hAnsi="Arial" w:cs="Arial"/>
          <w:b/>
          <w:sz w:val="24"/>
          <w:szCs w:val="24"/>
        </w:rPr>
      </w:pPr>
      <w:r>
        <w:rPr>
          <w:rFonts w:ascii="Arial" w:hAnsi="Arial" w:cs="Arial"/>
          <w:b/>
          <w:sz w:val="24"/>
          <w:szCs w:val="24"/>
        </w:rPr>
        <w:t>Members’ benefits flows</w:t>
      </w:r>
      <w:r w:rsidRPr="00F13891" w:rsidDel="00506EF7">
        <w:rPr>
          <w:rFonts w:ascii="Arial" w:hAnsi="Arial" w:cs="Arial"/>
          <w:b/>
          <w:sz w:val="24"/>
          <w:szCs w:val="24"/>
        </w:rPr>
        <w:t xml:space="preserve"> </w:t>
      </w:r>
    </w:p>
    <w:p w:rsidR="00390CCC" w:rsidRDefault="00390CCC" w:rsidP="00390CCC">
      <w:pPr>
        <w:widowControl w:val="0"/>
        <w:spacing w:after="240"/>
        <w:jc w:val="both"/>
        <w:rPr>
          <w:rFonts w:ascii="Times New Roman" w:hAnsi="Times New Roman"/>
          <w:sz w:val="24"/>
          <w:szCs w:val="24"/>
        </w:rPr>
      </w:pPr>
      <w:r>
        <w:rPr>
          <w:rFonts w:ascii="Times New Roman" w:hAnsi="Times New Roman"/>
          <w:sz w:val="24"/>
          <w:szCs w:val="24"/>
        </w:rPr>
        <w:t>I</w:t>
      </w:r>
      <w:r w:rsidRPr="00045C72">
        <w:rPr>
          <w:rFonts w:ascii="Times New Roman" w:hAnsi="Times New Roman"/>
          <w:sz w:val="24"/>
          <w:szCs w:val="24"/>
        </w:rPr>
        <w:t xml:space="preserve">tem </w:t>
      </w:r>
      <w:r>
        <w:rPr>
          <w:rFonts w:ascii="Times New Roman" w:hAnsi="Times New Roman"/>
          <w:sz w:val="24"/>
          <w:szCs w:val="24"/>
        </w:rPr>
        <w:t>4</w:t>
      </w:r>
      <w:r w:rsidRPr="00045C72">
        <w:rPr>
          <w:rFonts w:ascii="Times New Roman" w:hAnsi="Times New Roman"/>
          <w:sz w:val="24"/>
          <w:szCs w:val="24"/>
        </w:rPr>
        <w:t xml:space="preserve"> </w:t>
      </w:r>
      <w:r>
        <w:rPr>
          <w:rFonts w:ascii="Times New Roman" w:hAnsi="Times New Roman"/>
          <w:sz w:val="24"/>
          <w:szCs w:val="24"/>
        </w:rPr>
        <w:t xml:space="preserve">to item 6 inclusive </w:t>
      </w:r>
      <w:r w:rsidRPr="00045C72">
        <w:rPr>
          <w:rFonts w:ascii="Times New Roman" w:hAnsi="Times New Roman"/>
          <w:sz w:val="24"/>
          <w:szCs w:val="24"/>
        </w:rPr>
        <w:t xml:space="preserve">collect </w:t>
      </w:r>
      <w:r>
        <w:rPr>
          <w:rFonts w:ascii="Times New Roman" w:hAnsi="Times New Roman"/>
          <w:sz w:val="24"/>
          <w:szCs w:val="24"/>
        </w:rPr>
        <w:t>the members’ benefits</w:t>
      </w:r>
      <w:r w:rsidRPr="0029291B">
        <w:rPr>
          <w:rFonts w:ascii="Times New Roman" w:hAnsi="Times New Roman"/>
          <w:sz w:val="24"/>
          <w:szCs w:val="24"/>
        </w:rPr>
        <w:t xml:space="preserve"> </w:t>
      </w:r>
      <w:r>
        <w:rPr>
          <w:rFonts w:ascii="Times New Roman" w:hAnsi="Times New Roman"/>
          <w:sz w:val="24"/>
          <w:szCs w:val="24"/>
        </w:rPr>
        <w:t>flows in and out of a select investment option including contributions, net rollovers, net successor fund transfers, repatriations to employer sponsors and benefit payments.</w:t>
      </w:r>
    </w:p>
    <w:p w:rsidR="00390CCC" w:rsidRDefault="00390CCC" w:rsidP="00390CCC">
      <w:pPr>
        <w:spacing w:after="240"/>
        <w:jc w:val="both"/>
        <w:rPr>
          <w:rFonts w:ascii="Times New Roman" w:hAnsi="Times New Roman"/>
          <w:sz w:val="24"/>
          <w:szCs w:val="24"/>
        </w:rPr>
      </w:pPr>
      <w:r>
        <w:rPr>
          <w:rFonts w:ascii="Times New Roman" w:hAnsi="Times New Roman"/>
          <w:sz w:val="24"/>
          <w:szCs w:val="24"/>
        </w:rPr>
        <w:t xml:space="preserve">Report </w:t>
      </w:r>
      <w:r w:rsidRPr="00111550">
        <w:rPr>
          <w:rFonts w:ascii="Times New Roman" w:hAnsi="Times New Roman"/>
          <w:sz w:val="24"/>
          <w:szCs w:val="24"/>
        </w:rPr>
        <w:t>contributions gross of contributions tax</w:t>
      </w:r>
      <w:r>
        <w:rPr>
          <w:rFonts w:ascii="Times New Roman" w:hAnsi="Times New Roman"/>
          <w:sz w:val="24"/>
          <w:szCs w:val="24"/>
        </w:rPr>
        <w:t xml:space="preserve"> and any other tax</w:t>
      </w:r>
      <w:r w:rsidRPr="00111550">
        <w:rPr>
          <w:rFonts w:ascii="Times New Roman" w:hAnsi="Times New Roman"/>
          <w:sz w:val="24"/>
          <w:szCs w:val="24"/>
        </w:rPr>
        <w:t xml:space="preserve"> and do not deduct</w:t>
      </w:r>
      <w:r>
        <w:rPr>
          <w:rFonts w:ascii="Times New Roman" w:hAnsi="Times New Roman"/>
          <w:sz w:val="24"/>
          <w:szCs w:val="24"/>
        </w:rPr>
        <w:t>:</w:t>
      </w:r>
      <w:r w:rsidRPr="00111550">
        <w:rPr>
          <w:rFonts w:ascii="Times New Roman" w:hAnsi="Times New Roman"/>
          <w:sz w:val="24"/>
          <w:szCs w:val="24"/>
        </w:rPr>
        <w:t xml:space="preserve"> entry fees</w:t>
      </w:r>
      <w:r>
        <w:rPr>
          <w:rFonts w:ascii="Times New Roman" w:hAnsi="Times New Roman"/>
          <w:sz w:val="24"/>
          <w:szCs w:val="24"/>
        </w:rPr>
        <w:t>;</w:t>
      </w:r>
      <w:r w:rsidRPr="00111550">
        <w:rPr>
          <w:rFonts w:ascii="Times New Roman" w:hAnsi="Times New Roman"/>
          <w:sz w:val="24"/>
          <w:szCs w:val="24"/>
        </w:rPr>
        <w:t xml:space="preserve"> deferred entry fees</w:t>
      </w:r>
      <w:r>
        <w:rPr>
          <w:rFonts w:ascii="Times New Roman" w:hAnsi="Times New Roman"/>
          <w:sz w:val="24"/>
          <w:szCs w:val="24"/>
        </w:rPr>
        <w:t>;</w:t>
      </w:r>
      <w:r w:rsidRPr="00111550">
        <w:rPr>
          <w:rFonts w:ascii="Times New Roman" w:hAnsi="Times New Roman"/>
          <w:sz w:val="24"/>
          <w:szCs w:val="24"/>
        </w:rPr>
        <w:t xml:space="preserve"> commissions</w:t>
      </w:r>
      <w:r>
        <w:rPr>
          <w:rFonts w:ascii="Times New Roman" w:hAnsi="Times New Roman"/>
          <w:sz w:val="24"/>
          <w:szCs w:val="24"/>
        </w:rPr>
        <w:t xml:space="preserve">; </w:t>
      </w:r>
      <w:r w:rsidRPr="00111550">
        <w:rPr>
          <w:rFonts w:ascii="Times New Roman" w:hAnsi="Times New Roman"/>
          <w:sz w:val="24"/>
          <w:szCs w:val="24"/>
        </w:rPr>
        <w:t>management fees or any other ongoing fees or charges.</w:t>
      </w:r>
      <w:r>
        <w:rPr>
          <w:rFonts w:ascii="Times New Roman" w:hAnsi="Times New Roman"/>
          <w:sz w:val="24"/>
          <w:szCs w:val="24"/>
        </w:rPr>
        <w:t xml:space="preserve"> </w:t>
      </w:r>
      <w:r w:rsidRPr="00111550">
        <w:rPr>
          <w:rFonts w:ascii="Times New Roman" w:hAnsi="Times New Roman"/>
          <w:sz w:val="24"/>
          <w:szCs w:val="24"/>
        </w:rPr>
        <w:t xml:space="preserv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390CCC" w:rsidRPr="00F47773" w:rsidTr="00BC188E">
        <w:tc>
          <w:tcPr>
            <w:tcW w:w="1701" w:type="dxa"/>
            <w:tcBorders>
              <w:top w:val="single" w:sz="4" w:space="0" w:color="auto"/>
              <w:left w:val="single" w:sz="4" w:space="0" w:color="auto"/>
              <w:bottom w:val="single" w:sz="4" w:space="0" w:color="auto"/>
              <w:right w:val="single" w:sz="4" w:space="0" w:color="auto"/>
            </w:tcBorders>
          </w:tcPr>
          <w:p w:rsidR="00390CCC" w:rsidRPr="00F47773" w:rsidRDefault="00390CCC" w:rsidP="00BC188E">
            <w:pPr>
              <w:spacing w:before="120" w:after="120"/>
              <w:rPr>
                <w:rFonts w:ascii="Times New Roman" w:eastAsia="Times New Roman" w:hAnsi="Times New Roman"/>
                <w:b/>
                <w:sz w:val="24"/>
                <w:szCs w:val="24"/>
              </w:rPr>
            </w:pPr>
            <w:r>
              <w:rPr>
                <w:rFonts w:ascii="Times New Roman" w:eastAsia="Times New Roman" w:hAnsi="Times New Roman"/>
                <w:b/>
                <w:sz w:val="24"/>
                <w:szCs w:val="24"/>
              </w:rPr>
              <w:lastRenderedPageBreak/>
              <w:t>Item 4</w:t>
            </w:r>
          </w:p>
        </w:tc>
        <w:tc>
          <w:tcPr>
            <w:tcW w:w="7370" w:type="dxa"/>
            <w:tcBorders>
              <w:top w:val="single" w:sz="4" w:space="0" w:color="auto"/>
              <w:left w:val="single" w:sz="4" w:space="0" w:color="auto"/>
              <w:bottom w:val="single" w:sz="4" w:space="0" w:color="auto"/>
              <w:right w:val="single" w:sz="4" w:space="0" w:color="auto"/>
            </w:tcBorders>
          </w:tcPr>
          <w:p w:rsidR="00390CCC" w:rsidRPr="00CE32CD" w:rsidRDefault="00390CCC" w:rsidP="00CB4CFB">
            <w:pPr>
              <w:spacing w:before="120" w:after="120"/>
              <w:jc w:val="both"/>
              <w:rPr>
                <w:rFonts w:ascii="Times New Roman" w:hAnsi="Times New Roman"/>
                <w:sz w:val="24"/>
                <w:szCs w:val="24"/>
              </w:rPr>
            </w:pPr>
            <w:r>
              <w:rPr>
                <w:rFonts w:ascii="Times New Roman" w:hAnsi="Times New Roman"/>
                <w:sz w:val="24"/>
                <w:szCs w:val="24"/>
              </w:rPr>
              <w:t xml:space="preserve">Report </w:t>
            </w:r>
            <w:r w:rsidRPr="00BB7DD4">
              <w:rPr>
                <w:rFonts w:ascii="Times New Roman" w:hAnsi="Times New Roman"/>
                <w:sz w:val="24"/>
                <w:szCs w:val="24"/>
              </w:rPr>
              <w:t>total</w:t>
            </w:r>
            <w:r w:rsidRPr="00BB7DD4">
              <w:rPr>
                <w:rFonts w:ascii="Times New Roman" w:hAnsi="Times New Roman"/>
                <w:b/>
                <w:i/>
                <w:sz w:val="24"/>
                <w:szCs w:val="24"/>
              </w:rPr>
              <w:t xml:space="preserve"> </w:t>
            </w:r>
            <w:r w:rsidRPr="006F7BFF">
              <w:rPr>
                <w:rFonts w:ascii="Times New Roman" w:hAnsi="Times New Roman"/>
                <w:b/>
                <w:i/>
                <w:sz w:val="24"/>
                <w:szCs w:val="24"/>
              </w:rPr>
              <w:t>members</w:t>
            </w:r>
            <w:r>
              <w:rPr>
                <w:rFonts w:ascii="Times New Roman" w:hAnsi="Times New Roman"/>
                <w:b/>
                <w:i/>
                <w:sz w:val="24"/>
                <w:szCs w:val="24"/>
              </w:rPr>
              <w:t>’</w:t>
            </w:r>
            <w:r w:rsidRPr="006F7BFF">
              <w:rPr>
                <w:rFonts w:ascii="Times New Roman" w:hAnsi="Times New Roman"/>
                <w:b/>
                <w:i/>
                <w:sz w:val="24"/>
                <w:szCs w:val="24"/>
              </w:rPr>
              <w:t xml:space="preserve"> benefits</w:t>
            </w:r>
            <w:r>
              <w:rPr>
                <w:rFonts w:ascii="Times New Roman" w:hAnsi="Times New Roman"/>
                <w:b/>
                <w:i/>
                <w:sz w:val="24"/>
                <w:szCs w:val="24"/>
              </w:rPr>
              <w:t xml:space="preserve"> flows</w:t>
            </w:r>
            <w:r w:rsidRPr="00BB7DD4">
              <w:rPr>
                <w:rFonts w:ascii="Times New Roman" w:hAnsi="Times New Roman"/>
                <w:b/>
                <w:i/>
                <w:sz w:val="24"/>
                <w:szCs w:val="24"/>
              </w:rPr>
              <w:t xml:space="preserve"> </w:t>
            </w:r>
            <w:r w:rsidRPr="00506EF7">
              <w:rPr>
                <w:rFonts w:ascii="Times New Roman" w:hAnsi="Times New Roman"/>
                <w:sz w:val="24"/>
                <w:szCs w:val="24"/>
              </w:rPr>
              <w:t>in</w:t>
            </w:r>
            <w:r>
              <w:rPr>
                <w:rFonts w:ascii="Times New Roman" w:hAnsi="Times New Roman"/>
                <w:sz w:val="24"/>
                <w:szCs w:val="24"/>
              </w:rPr>
              <w:t>to the select investment option</w:t>
            </w:r>
            <w:r w:rsidRPr="00506EF7">
              <w:rPr>
                <w:rFonts w:ascii="Times New Roman" w:hAnsi="Times New Roman"/>
                <w:sz w:val="24"/>
                <w:szCs w:val="24"/>
              </w:rPr>
              <w:t xml:space="preserve"> </w:t>
            </w:r>
            <w:r>
              <w:rPr>
                <w:rFonts w:ascii="Times New Roman" w:hAnsi="Times New Roman"/>
                <w:sz w:val="24"/>
                <w:szCs w:val="24"/>
              </w:rPr>
              <w:t xml:space="preserve">in item 4 as the total of contributions </w:t>
            </w:r>
            <w:r w:rsidRPr="004179FA">
              <w:rPr>
                <w:rFonts w:ascii="Times New Roman" w:hAnsi="Times New Roman"/>
                <w:sz w:val="24"/>
                <w:szCs w:val="24"/>
              </w:rPr>
              <w:t>net of contributions tax and contributions surcharge, rollovers, successo</w:t>
            </w:r>
            <w:r>
              <w:rPr>
                <w:rFonts w:ascii="Times New Roman" w:hAnsi="Times New Roman"/>
                <w:sz w:val="24"/>
                <w:szCs w:val="24"/>
              </w:rPr>
              <w:t xml:space="preserve">r fund transfers and other types of members’ benefits flows into the select investment option. </w:t>
            </w:r>
          </w:p>
        </w:tc>
      </w:tr>
      <w:tr w:rsidR="00390CCC" w:rsidRPr="00F47773" w:rsidTr="00BC188E">
        <w:tc>
          <w:tcPr>
            <w:tcW w:w="1701" w:type="dxa"/>
            <w:tcBorders>
              <w:top w:val="single" w:sz="4" w:space="0" w:color="auto"/>
              <w:left w:val="single" w:sz="4" w:space="0" w:color="auto"/>
              <w:bottom w:val="single" w:sz="4" w:space="0" w:color="auto"/>
              <w:right w:val="single" w:sz="4" w:space="0" w:color="auto"/>
            </w:tcBorders>
          </w:tcPr>
          <w:p w:rsidR="00390CCC" w:rsidRPr="00B6093A" w:rsidDel="00B71BCA" w:rsidRDefault="00390CCC" w:rsidP="00BC188E">
            <w:pPr>
              <w:spacing w:before="120" w:after="120"/>
              <w:rPr>
                <w:rFonts w:ascii="Times New Roman" w:hAnsi="Times New Roman"/>
                <w:b/>
                <w:i/>
                <w:sz w:val="24"/>
                <w:szCs w:val="24"/>
              </w:rPr>
            </w:pPr>
            <w:r>
              <w:rPr>
                <w:rFonts w:ascii="Times New Roman" w:hAnsi="Times New Roman"/>
                <w:b/>
                <w:i/>
                <w:sz w:val="24"/>
                <w:szCs w:val="24"/>
              </w:rPr>
              <w:t>Members’ benefits flows</w:t>
            </w:r>
          </w:p>
        </w:tc>
        <w:tc>
          <w:tcPr>
            <w:tcW w:w="7370" w:type="dxa"/>
            <w:tcBorders>
              <w:top w:val="single" w:sz="4" w:space="0" w:color="auto"/>
              <w:left w:val="single" w:sz="4" w:space="0" w:color="auto"/>
              <w:bottom w:val="single" w:sz="4" w:space="0" w:color="auto"/>
              <w:right w:val="single" w:sz="4" w:space="0" w:color="auto"/>
            </w:tcBorders>
          </w:tcPr>
          <w:p w:rsidR="00390CCC" w:rsidRPr="00E42D95" w:rsidRDefault="00390CCC" w:rsidP="00BC188E">
            <w:pPr>
              <w:spacing w:before="120" w:after="120"/>
              <w:jc w:val="both"/>
              <w:rPr>
                <w:rFonts w:ascii="Times New Roman" w:hAnsi="Times New Roman"/>
                <w:sz w:val="24"/>
                <w:szCs w:val="24"/>
              </w:rPr>
            </w:pPr>
            <w:r>
              <w:rPr>
                <w:rFonts w:ascii="Times New Roman" w:hAnsi="Times New Roman"/>
                <w:sz w:val="24"/>
                <w:szCs w:val="24"/>
              </w:rPr>
              <w:t>Represents members’ monies paid into or out of the entity.</w:t>
            </w:r>
          </w:p>
        </w:tc>
      </w:tr>
    </w:tbl>
    <w:p w:rsidR="00390CCC" w:rsidRDefault="00390CCC"/>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390CCC" w:rsidRPr="00F47773" w:rsidTr="00390CCC">
        <w:tc>
          <w:tcPr>
            <w:tcW w:w="1701" w:type="dxa"/>
            <w:tcBorders>
              <w:top w:val="single" w:sz="4" w:space="0" w:color="auto"/>
              <w:left w:val="single" w:sz="4" w:space="0" w:color="auto"/>
              <w:bottom w:val="single" w:sz="4" w:space="0" w:color="auto"/>
              <w:right w:val="single" w:sz="4" w:space="0" w:color="auto"/>
            </w:tcBorders>
          </w:tcPr>
          <w:p w:rsidR="00390CCC" w:rsidRPr="00390CCC" w:rsidRDefault="00390CCC" w:rsidP="00BC188E">
            <w:pPr>
              <w:spacing w:before="120" w:after="120"/>
              <w:rPr>
                <w:rFonts w:ascii="Times New Roman" w:hAnsi="Times New Roman"/>
                <w:b/>
                <w:sz w:val="24"/>
                <w:szCs w:val="24"/>
              </w:rPr>
            </w:pPr>
            <w:r w:rsidRPr="00390CCC">
              <w:rPr>
                <w:rFonts w:ascii="Times New Roman" w:hAnsi="Times New Roman"/>
                <w:b/>
                <w:sz w:val="24"/>
                <w:szCs w:val="24"/>
              </w:rPr>
              <w:t>Item 5</w:t>
            </w:r>
          </w:p>
        </w:tc>
        <w:tc>
          <w:tcPr>
            <w:tcW w:w="7370" w:type="dxa"/>
            <w:tcBorders>
              <w:top w:val="single" w:sz="4" w:space="0" w:color="auto"/>
              <w:left w:val="single" w:sz="4" w:space="0" w:color="auto"/>
              <w:bottom w:val="single" w:sz="4" w:space="0" w:color="auto"/>
              <w:right w:val="single" w:sz="4" w:space="0" w:color="auto"/>
            </w:tcBorders>
          </w:tcPr>
          <w:p w:rsidR="00390CCC" w:rsidRPr="00CE32CD" w:rsidRDefault="00390CCC" w:rsidP="00BC188E">
            <w:pPr>
              <w:spacing w:before="120" w:after="120"/>
              <w:jc w:val="both"/>
              <w:rPr>
                <w:rFonts w:ascii="Times New Roman" w:hAnsi="Times New Roman"/>
                <w:sz w:val="24"/>
                <w:szCs w:val="24"/>
              </w:rPr>
            </w:pPr>
            <w:r>
              <w:rPr>
                <w:rFonts w:ascii="Times New Roman" w:hAnsi="Times New Roman"/>
                <w:sz w:val="24"/>
                <w:szCs w:val="24"/>
              </w:rPr>
              <w:t xml:space="preserve">Report </w:t>
            </w:r>
            <w:r w:rsidRPr="00BB7DD4">
              <w:rPr>
                <w:rFonts w:ascii="Times New Roman" w:hAnsi="Times New Roman"/>
                <w:sz w:val="24"/>
                <w:szCs w:val="24"/>
              </w:rPr>
              <w:t>total</w:t>
            </w:r>
            <w:r w:rsidRPr="00390CCC">
              <w:rPr>
                <w:rFonts w:ascii="Times New Roman" w:hAnsi="Times New Roman"/>
                <w:sz w:val="24"/>
                <w:szCs w:val="24"/>
              </w:rPr>
              <w:t xml:space="preserve"> </w:t>
            </w:r>
            <w:r w:rsidRPr="00CB4CFB">
              <w:rPr>
                <w:rFonts w:ascii="Times New Roman" w:hAnsi="Times New Roman"/>
                <w:b/>
                <w:i/>
                <w:sz w:val="24"/>
                <w:szCs w:val="24"/>
              </w:rPr>
              <w:t>members’ benefits flows</w:t>
            </w:r>
            <w:r w:rsidRPr="00390CCC">
              <w:rPr>
                <w:rFonts w:ascii="Times New Roman" w:hAnsi="Times New Roman"/>
                <w:sz w:val="24"/>
                <w:szCs w:val="24"/>
              </w:rPr>
              <w:t xml:space="preserve"> </w:t>
            </w:r>
            <w:r>
              <w:rPr>
                <w:rFonts w:ascii="Times New Roman" w:hAnsi="Times New Roman"/>
                <w:sz w:val="24"/>
                <w:szCs w:val="24"/>
              </w:rPr>
              <w:t>out</w:t>
            </w:r>
            <w:r w:rsidRPr="00506EF7">
              <w:rPr>
                <w:rFonts w:ascii="Times New Roman" w:hAnsi="Times New Roman"/>
                <w:sz w:val="24"/>
                <w:szCs w:val="24"/>
              </w:rPr>
              <w:t xml:space="preserve"> </w:t>
            </w:r>
            <w:r>
              <w:rPr>
                <w:rFonts w:ascii="Times New Roman" w:hAnsi="Times New Roman"/>
                <w:sz w:val="24"/>
                <w:szCs w:val="24"/>
              </w:rPr>
              <w:t xml:space="preserve">of the select investment option in item </w:t>
            </w:r>
            <w:r w:rsidR="00CB4CFB">
              <w:rPr>
                <w:rFonts w:ascii="Times New Roman" w:hAnsi="Times New Roman"/>
                <w:sz w:val="24"/>
                <w:szCs w:val="24"/>
              </w:rPr>
              <w:t>5</w:t>
            </w:r>
            <w:r>
              <w:rPr>
                <w:rFonts w:ascii="Times New Roman" w:hAnsi="Times New Roman"/>
                <w:sz w:val="24"/>
                <w:szCs w:val="24"/>
              </w:rPr>
              <w:t xml:space="preserve"> as the total of benefit payments, rollovers, successor fund transfers, r</w:t>
            </w:r>
            <w:r w:rsidRPr="00EE1862">
              <w:rPr>
                <w:rFonts w:ascii="Times New Roman" w:hAnsi="Times New Roman"/>
                <w:sz w:val="24"/>
                <w:szCs w:val="24"/>
              </w:rPr>
              <w:t>epatriation to employer sponsor</w:t>
            </w:r>
            <w:r>
              <w:rPr>
                <w:rFonts w:ascii="Times New Roman" w:hAnsi="Times New Roman"/>
                <w:sz w:val="24"/>
                <w:szCs w:val="24"/>
              </w:rPr>
              <w:t xml:space="preserve">s and other types of members’ benefits flows out of the </w:t>
            </w:r>
            <w:r w:rsidR="00CB4CFB">
              <w:rPr>
                <w:rFonts w:ascii="Times New Roman" w:hAnsi="Times New Roman"/>
                <w:sz w:val="24"/>
                <w:szCs w:val="24"/>
              </w:rPr>
              <w:t xml:space="preserve">select investment option. </w:t>
            </w:r>
          </w:p>
        </w:tc>
      </w:tr>
    </w:tbl>
    <w:p w:rsidR="00390CCC" w:rsidRDefault="00390CCC"/>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390CCC" w:rsidRPr="00B62FDA" w:rsidTr="00390CCC">
        <w:tc>
          <w:tcPr>
            <w:tcW w:w="1701" w:type="dxa"/>
            <w:tcBorders>
              <w:top w:val="single" w:sz="4" w:space="0" w:color="auto"/>
              <w:left w:val="single" w:sz="4" w:space="0" w:color="auto"/>
              <w:bottom w:val="single" w:sz="4" w:space="0" w:color="auto"/>
              <w:right w:val="single" w:sz="4" w:space="0" w:color="auto"/>
            </w:tcBorders>
          </w:tcPr>
          <w:p w:rsidR="00390CCC" w:rsidRPr="00CB4CFB" w:rsidRDefault="00390CCC" w:rsidP="00390CCC">
            <w:pPr>
              <w:spacing w:before="120" w:after="120"/>
              <w:rPr>
                <w:rFonts w:ascii="Times New Roman" w:hAnsi="Times New Roman"/>
                <w:b/>
                <w:sz w:val="24"/>
                <w:szCs w:val="24"/>
              </w:rPr>
            </w:pPr>
            <w:r w:rsidRPr="00CB4CFB">
              <w:rPr>
                <w:rFonts w:ascii="Times New Roman" w:hAnsi="Times New Roman"/>
                <w:b/>
                <w:sz w:val="24"/>
                <w:szCs w:val="24"/>
              </w:rPr>
              <w:t xml:space="preserve">Item </w:t>
            </w:r>
            <w:r w:rsidR="00CB4CFB">
              <w:rPr>
                <w:rFonts w:ascii="Times New Roman" w:hAnsi="Times New Roman"/>
                <w:b/>
                <w:sz w:val="24"/>
                <w:szCs w:val="24"/>
              </w:rPr>
              <w:t>6</w:t>
            </w:r>
          </w:p>
        </w:tc>
        <w:tc>
          <w:tcPr>
            <w:tcW w:w="7370" w:type="dxa"/>
            <w:tcBorders>
              <w:top w:val="single" w:sz="4" w:space="0" w:color="auto"/>
              <w:left w:val="single" w:sz="4" w:space="0" w:color="auto"/>
              <w:bottom w:val="single" w:sz="4" w:space="0" w:color="auto"/>
              <w:right w:val="single" w:sz="4" w:space="0" w:color="auto"/>
            </w:tcBorders>
          </w:tcPr>
          <w:p w:rsidR="00390CCC" w:rsidRPr="00390CCC" w:rsidRDefault="00CB4CFB" w:rsidP="00CB4CFB">
            <w:pPr>
              <w:spacing w:before="120" w:after="120"/>
              <w:jc w:val="both"/>
              <w:rPr>
                <w:rFonts w:ascii="Times New Roman" w:hAnsi="Times New Roman"/>
                <w:sz w:val="24"/>
                <w:szCs w:val="24"/>
              </w:rPr>
            </w:pPr>
            <w:r>
              <w:rPr>
                <w:rFonts w:ascii="Times New Roman" w:hAnsi="Times New Roman"/>
                <w:sz w:val="24"/>
                <w:szCs w:val="24"/>
              </w:rPr>
              <w:t>Item 6</w:t>
            </w:r>
            <w:r w:rsidR="00390CCC">
              <w:rPr>
                <w:rFonts w:ascii="Times New Roman" w:hAnsi="Times New Roman"/>
                <w:sz w:val="24"/>
                <w:szCs w:val="24"/>
              </w:rPr>
              <w:t xml:space="preserve"> is a derived item. </w:t>
            </w:r>
            <w:r w:rsidR="00390CCC" w:rsidRPr="00B62FDA">
              <w:rPr>
                <w:rFonts w:ascii="Times New Roman" w:hAnsi="Times New Roman"/>
                <w:sz w:val="24"/>
                <w:szCs w:val="24"/>
              </w:rPr>
              <w:t>R</w:t>
            </w:r>
            <w:r w:rsidR="00390CCC">
              <w:rPr>
                <w:rFonts w:ascii="Times New Roman" w:hAnsi="Times New Roman"/>
                <w:sz w:val="24"/>
                <w:szCs w:val="24"/>
              </w:rPr>
              <w:t xml:space="preserve">eport </w:t>
            </w:r>
            <w:r w:rsidR="00390CCC" w:rsidRPr="00DC28E4">
              <w:rPr>
                <w:rFonts w:ascii="Times New Roman" w:hAnsi="Times New Roman"/>
                <w:sz w:val="24"/>
                <w:szCs w:val="24"/>
              </w:rPr>
              <w:t>net</w:t>
            </w:r>
            <w:r w:rsidR="00390CCC" w:rsidRPr="00390CCC">
              <w:rPr>
                <w:rFonts w:ascii="Times New Roman" w:hAnsi="Times New Roman"/>
                <w:sz w:val="24"/>
                <w:szCs w:val="24"/>
              </w:rPr>
              <w:t xml:space="preserve"> </w:t>
            </w:r>
            <w:r w:rsidR="00390CCC" w:rsidRPr="00CB4CFB">
              <w:rPr>
                <w:rFonts w:ascii="Times New Roman" w:hAnsi="Times New Roman"/>
                <w:b/>
                <w:i/>
                <w:sz w:val="24"/>
                <w:szCs w:val="24"/>
              </w:rPr>
              <w:t>members’ benefits flows</w:t>
            </w:r>
            <w:r w:rsidR="00390CCC">
              <w:rPr>
                <w:rFonts w:ascii="Times New Roman" w:hAnsi="Times New Roman"/>
                <w:sz w:val="24"/>
                <w:szCs w:val="24"/>
              </w:rPr>
              <w:t xml:space="preserve"> in item </w:t>
            </w:r>
            <w:r>
              <w:rPr>
                <w:rFonts w:ascii="Times New Roman" w:hAnsi="Times New Roman"/>
                <w:sz w:val="24"/>
                <w:szCs w:val="24"/>
              </w:rPr>
              <w:t>6</w:t>
            </w:r>
            <w:r w:rsidR="00390CCC">
              <w:rPr>
                <w:rFonts w:ascii="Times New Roman" w:hAnsi="Times New Roman"/>
                <w:sz w:val="24"/>
                <w:szCs w:val="24"/>
              </w:rPr>
              <w:t xml:space="preserve"> as total </w:t>
            </w:r>
            <w:r w:rsidR="00390CCC" w:rsidRPr="00390CCC">
              <w:rPr>
                <w:rFonts w:ascii="Times New Roman" w:hAnsi="Times New Roman"/>
                <w:sz w:val="24"/>
                <w:szCs w:val="24"/>
              </w:rPr>
              <w:t>members’ benefits flows</w:t>
            </w:r>
            <w:r w:rsidR="00390CCC">
              <w:rPr>
                <w:rFonts w:ascii="Times New Roman" w:hAnsi="Times New Roman"/>
                <w:sz w:val="24"/>
                <w:szCs w:val="24"/>
              </w:rPr>
              <w:t xml:space="preserve"> into the </w:t>
            </w:r>
            <w:r>
              <w:rPr>
                <w:rFonts w:ascii="Times New Roman" w:hAnsi="Times New Roman"/>
                <w:sz w:val="24"/>
                <w:szCs w:val="24"/>
              </w:rPr>
              <w:t xml:space="preserve">select investment option </w:t>
            </w:r>
            <w:r w:rsidR="00390CCC">
              <w:rPr>
                <w:rFonts w:ascii="Times New Roman" w:hAnsi="Times New Roman"/>
                <w:sz w:val="24"/>
                <w:szCs w:val="24"/>
              </w:rPr>
              <w:t xml:space="preserve">reported in item </w:t>
            </w:r>
            <w:r>
              <w:rPr>
                <w:rFonts w:ascii="Times New Roman" w:hAnsi="Times New Roman"/>
                <w:sz w:val="24"/>
                <w:szCs w:val="24"/>
              </w:rPr>
              <w:t>4</w:t>
            </w:r>
            <w:r w:rsidR="00390CCC">
              <w:rPr>
                <w:rFonts w:ascii="Times New Roman" w:hAnsi="Times New Roman"/>
                <w:sz w:val="24"/>
                <w:szCs w:val="24"/>
              </w:rPr>
              <w:t xml:space="preserve"> minus total </w:t>
            </w:r>
            <w:r w:rsidR="00390CCC" w:rsidRPr="00CB4CFB">
              <w:rPr>
                <w:rFonts w:ascii="Times New Roman" w:hAnsi="Times New Roman"/>
                <w:b/>
                <w:i/>
                <w:sz w:val="24"/>
                <w:szCs w:val="24"/>
              </w:rPr>
              <w:t>members’ benefits flows</w:t>
            </w:r>
            <w:r w:rsidR="00390CCC">
              <w:rPr>
                <w:rFonts w:ascii="Times New Roman" w:hAnsi="Times New Roman"/>
                <w:sz w:val="24"/>
                <w:szCs w:val="24"/>
              </w:rPr>
              <w:t xml:space="preserve"> out of the </w:t>
            </w:r>
            <w:r>
              <w:rPr>
                <w:rFonts w:ascii="Times New Roman" w:hAnsi="Times New Roman"/>
                <w:sz w:val="24"/>
                <w:szCs w:val="24"/>
              </w:rPr>
              <w:t xml:space="preserve">select investment option </w:t>
            </w:r>
            <w:r w:rsidR="00390CCC">
              <w:rPr>
                <w:rFonts w:ascii="Times New Roman" w:hAnsi="Times New Roman"/>
                <w:sz w:val="24"/>
                <w:szCs w:val="24"/>
              </w:rPr>
              <w:t xml:space="preserve">reported in item </w:t>
            </w:r>
            <w:r>
              <w:rPr>
                <w:rFonts w:ascii="Times New Roman" w:hAnsi="Times New Roman"/>
                <w:sz w:val="24"/>
                <w:szCs w:val="24"/>
              </w:rPr>
              <w:t>5</w:t>
            </w:r>
            <w:r w:rsidR="00390CCC">
              <w:rPr>
                <w:rFonts w:ascii="Times New Roman" w:hAnsi="Times New Roman"/>
                <w:sz w:val="24"/>
                <w:szCs w:val="24"/>
              </w:rPr>
              <w:t>.</w:t>
            </w:r>
          </w:p>
        </w:tc>
      </w:tr>
    </w:tbl>
    <w:p w:rsidR="00EE76C0" w:rsidRPr="00EE76C0" w:rsidRDefault="00EE76C0" w:rsidP="00DB2B19">
      <w:pPr>
        <w:widowControl w:val="0"/>
        <w:spacing w:before="240" w:after="240"/>
        <w:jc w:val="both"/>
        <w:rPr>
          <w:rFonts w:ascii="Arial" w:hAnsi="Arial" w:cs="Arial"/>
          <w:b/>
          <w:color w:val="000000"/>
          <w:sz w:val="32"/>
          <w:szCs w:val="32"/>
        </w:rPr>
      </w:pPr>
      <w:r w:rsidRPr="00EE76C0">
        <w:rPr>
          <w:rFonts w:ascii="Arial" w:hAnsi="Arial" w:cs="Arial"/>
          <w:b/>
          <w:color w:val="000000"/>
          <w:sz w:val="32"/>
          <w:szCs w:val="32"/>
        </w:rPr>
        <w:t>Glossary of additional items</w:t>
      </w:r>
    </w:p>
    <w:p w:rsidR="00F96C99" w:rsidRDefault="00F96C99" w:rsidP="00F96C99">
      <w:pPr>
        <w:spacing w:before="240" w:after="240"/>
        <w:jc w:val="both"/>
        <w:rPr>
          <w:rFonts w:ascii="Arial" w:hAnsi="Arial" w:cs="Arial"/>
          <w:b/>
          <w:sz w:val="24"/>
          <w:szCs w:val="24"/>
        </w:rPr>
      </w:pPr>
      <w:r>
        <w:rPr>
          <w:rFonts w:ascii="Arial" w:hAnsi="Arial" w:cs="Arial"/>
          <w:b/>
          <w:sz w:val="24"/>
          <w:szCs w:val="24"/>
        </w:rPr>
        <w:t>Asset class type</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F96C99" w:rsidRPr="007A7708" w:rsidTr="00AA6C7C">
        <w:tc>
          <w:tcPr>
            <w:tcW w:w="1701" w:type="dxa"/>
          </w:tcPr>
          <w:p w:rsidR="00F96C99" w:rsidRPr="007A7708" w:rsidRDefault="00F96C99" w:rsidP="003A0B11">
            <w:pPr>
              <w:spacing w:before="120" w:after="120"/>
              <w:rPr>
                <w:rFonts w:ascii="Times New Roman" w:hAnsi="Times New Roman"/>
                <w:b/>
                <w:sz w:val="24"/>
                <w:szCs w:val="24"/>
              </w:rPr>
            </w:pPr>
            <w:r w:rsidRPr="002204F4">
              <w:rPr>
                <w:rFonts w:ascii="Times New Roman" w:hAnsi="Times New Roman"/>
                <w:b/>
                <w:i/>
                <w:sz w:val="24"/>
                <w:szCs w:val="24"/>
              </w:rPr>
              <w:t>Cash</w:t>
            </w:r>
          </w:p>
        </w:tc>
        <w:tc>
          <w:tcPr>
            <w:tcW w:w="7370" w:type="dxa"/>
          </w:tcPr>
          <w:p w:rsidR="00F96C99" w:rsidRPr="007A7708" w:rsidRDefault="00F96C99" w:rsidP="00EA44DB">
            <w:pPr>
              <w:widowControl w:val="0"/>
              <w:spacing w:before="120" w:after="120"/>
              <w:jc w:val="both"/>
              <w:rPr>
                <w:rFonts w:ascii="Times New Roman" w:hAnsi="Times New Roman"/>
                <w:sz w:val="24"/>
                <w:szCs w:val="24"/>
              </w:rPr>
            </w:pPr>
            <w:r w:rsidRPr="00674A80">
              <w:rPr>
                <w:rFonts w:ascii="Times New Roman" w:hAnsi="Times New Roman"/>
                <w:sz w:val="24"/>
                <w:szCs w:val="24"/>
              </w:rPr>
              <w:t xml:space="preserve">Represents cash on hand and demand deposits, as well as cash equivalents. Cash equivalents represent short-term, highly liquid investments that are readily convertible to known amounts of cash and which are subject to an insignificant risk of changes in value. Reference: </w:t>
            </w:r>
            <w:r>
              <w:rPr>
                <w:rFonts w:ascii="Times New Roman" w:hAnsi="Times New Roman"/>
                <w:sz w:val="24"/>
                <w:szCs w:val="24"/>
              </w:rPr>
              <w:t>Australian Accounting Standards.</w:t>
            </w:r>
            <w:r w:rsidRPr="00674A80">
              <w:rPr>
                <w:rFonts w:ascii="Times New Roman" w:hAnsi="Times New Roman"/>
                <w:sz w:val="24"/>
                <w:szCs w:val="24"/>
              </w:rPr>
              <w:t xml:space="preserve"> </w:t>
            </w:r>
          </w:p>
        </w:tc>
      </w:tr>
      <w:tr w:rsidR="00F96C99" w:rsidRPr="007A7708" w:rsidTr="00AA6C7C">
        <w:tc>
          <w:tcPr>
            <w:tcW w:w="1701" w:type="dxa"/>
          </w:tcPr>
          <w:p w:rsidR="00F96C99" w:rsidRPr="007A7708" w:rsidRDefault="00F96C99" w:rsidP="003A0B11">
            <w:pPr>
              <w:spacing w:before="120" w:after="120"/>
              <w:rPr>
                <w:rFonts w:ascii="Times New Roman" w:hAnsi="Times New Roman"/>
                <w:b/>
                <w:sz w:val="24"/>
                <w:szCs w:val="24"/>
              </w:rPr>
            </w:pPr>
            <w:r>
              <w:rPr>
                <w:rFonts w:ascii="Times New Roman" w:hAnsi="Times New Roman"/>
                <w:b/>
                <w:i/>
                <w:sz w:val="24"/>
                <w:szCs w:val="24"/>
              </w:rPr>
              <w:t>Fixed income</w:t>
            </w:r>
          </w:p>
        </w:tc>
        <w:tc>
          <w:tcPr>
            <w:tcW w:w="7370" w:type="dxa"/>
          </w:tcPr>
          <w:p w:rsidR="00F96C99" w:rsidRPr="007A7708" w:rsidRDefault="00F96C99" w:rsidP="00EA44DB">
            <w:pPr>
              <w:widowControl w:val="0"/>
              <w:spacing w:before="120" w:after="120"/>
              <w:jc w:val="both"/>
              <w:rPr>
                <w:rFonts w:ascii="Times New Roman" w:hAnsi="Times New Roman"/>
                <w:sz w:val="24"/>
                <w:szCs w:val="24"/>
              </w:rPr>
            </w:pPr>
            <w:r w:rsidRPr="00674A80">
              <w:rPr>
                <w:rFonts w:ascii="Times New Roman" w:hAnsi="Times New Roman"/>
                <w:sz w:val="24"/>
                <w:szCs w:val="24"/>
              </w:rPr>
              <w:t>Represents a loan, placement or debt security. Loans are financial assets that are created when a creditor lends funds directly to a debtor, and are evidenced by documents that are non</w:t>
            </w:r>
            <w:r w:rsidR="00FB44B1">
              <w:rPr>
                <w:rFonts w:ascii="Times New Roman" w:hAnsi="Times New Roman"/>
                <w:sz w:val="24"/>
                <w:szCs w:val="24"/>
              </w:rPr>
              <w:t>-</w:t>
            </w:r>
            <w:r w:rsidRPr="00674A80">
              <w:rPr>
                <w:rFonts w:ascii="Times New Roman" w:hAnsi="Times New Roman"/>
                <w:sz w:val="24"/>
                <w:szCs w:val="24"/>
              </w:rPr>
              <w:t xml:space="preserve">negotiable. Placements are liabilities of entities not described as authorised deposit-taking institutions, e.g. State treasuries. Debt securities are securities which represent borrowed funds which must be repaid by the issuer with defined terms including the notional amount (amount borrowed), an identifiable return and maturity/renewal date. Includes: short and long-term debt securities. </w:t>
            </w:r>
          </w:p>
        </w:tc>
      </w:tr>
      <w:tr w:rsidR="00F96C99" w:rsidRPr="007A7708" w:rsidTr="00AA6C7C">
        <w:tc>
          <w:tcPr>
            <w:tcW w:w="1701" w:type="dxa"/>
          </w:tcPr>
          <w:p w:rsidR="00F96C99" w:rsidRPr="007A7708" w:rsidRDefault="00F96C99" w:rsidP="003A0B11">
            <w:pPr>
              <w:spacing w:before="120" w:after="120"/>
              <w:rPr>
                <w:rFonts w:ascii="Times New Roman" w:hAnsi="Times New Roman"/>
                <w:b/>
                <w:sz w:val="24"/>
                <w:szCs w:val="24"/>
              </w:rPr>
            </w:pPr>
            <w:r>
              <w:rPr>
                <w:rFonts w:ascii="Times New Roman" w:hAnsi="Times New Roman"/>
                <w:b/>
                <w:i/>
                <w:sz w:val="24"/>
                <w:szCs w:val="24"/>
              </w:rPr>
              <w:t>E</w:t>
            </w:r>
            <w:r w:rsidRPr="002204F4">
              <w:rPr>
                <w:rFonts w:ascii="Times New Roman" w:hAnsi="Times New Roman"/>
                <w:b/>
                <w:i/>
                <w:sz w:val="24"/>
                <w:szCs w:val="24"/>
              </w:rPr>
              <w:t>quity</w:t>
            </w:r>
          </w:p>
        </w:tc>
        <w:tc>
          <w:tcPr>
            <w:tcW w:w="7370" w:type="dxa"/>
          </w:tcPr>
          <w:p w:rsidR="00F96C99" w:rsidRPr="007A7708" w:rsidRDefault="00F96C99" w:rsidP="00EA44DB">
            <w:pPr>
              <w:spacing w:before="120" w:after="120"/>
              <w:jc w:val="both"/>
              <w:rPr>
                <w:rFonts w:ascii="Times New Roman" w:hAnsi="Times New Roman"/>
                <w:sz w:val="24"/>
                <w:szCs w:val="24"/>
              </w:rPr>
            </w:pPr>
            <w:r w:rsidRPr="00F30A2C">
              <w:rPr>
                <w:rFonts w:ascii="Times New Roman" w:hAnsi="Times New Roman"/>
                <w:sz w:val="24"/>
                <w:szCs w:val="24"/>
              </w:rPr>
              <w:t xml:space="preserve">Represents </w:t>
            </w:r>
            <w:r>
              <w:rPr>
                <w:rFonts w:ascii="Times New Roman" w:hAnsi="Times New Roman"/>
                <w:sz w:val="24"/>
                <w:szCs w:val="24"/>
              </w:rPr>
              <w:t>an ownership interest in a business, trust or partnership. Includes: common shares, preference shares</w:t>
            </w:r>
            <w:r w:rsidR="00E95322">
              <w:rPr>
                <w:rFonts w:ascii="Times New Roman" w:hAnsi="Times New Roman"/>
                <w:sz w:val="24"/>
                <w:szCs w:val="24"/>
              </w:rPr>
              <w:t xml:space="preserve">, </w:t>
            </w:r>
            <w:r w:rsidR="00E95322" w:rsidRPr="00D72D04">
              <w:rPr>
                <w:rFonts w:ascii="Times New Roman" w:hAnsi="Times New Roman"/>
                <w:sz w:val="24"/>
                <w:szCs w:val="24"/>
              </w:rPr>
              <w:t>listed investment companies</w:t>
            </w:r>
            <w:r>
              <w:rPr>
                <w:rFonts w:ascii="Times New Roman" w:hAnsi="Times New Roman"/>
                <w:sz w:val="24"/>
                <w:szCs w:val="24"/>
              </w:rPr>
              <w:t xml:space="preserve"> and</w:t>
            </w:r>
            <w:r w:rsidRPr="00F30A2C">
              <w:rPr>
                <w:rFonts w:ascii="Times New Roman" w:hAnsi="Times New Roman"/>
                <w:sz w:val="24"/>
                <w:szCs w:val="24"/>
              </w:rPr>
              <w:t xml:space="preserve"> </w:t>
            </w:r>
            <w:r>
              <w:rPr>
                <w:rFonts w:ascii="Times New Roman" w:hAnsi="Times New Roman"/>
                <w:sz w:val="24"/>
                <w:szCs w:val="24"/>
              </w:rPr>
              <w:t>units. Excludes: units in property trusts, units in infrastructure trusts.</w:t>
            </w:r>
          </w:p>
        </w:tc>
      </w:tr>
      <w:tr w:rsidR="00F96C99" w:rsidRPr="007A7708" w:rsidTr="00AA6C7C">
        <w:tc>
          <w:tcPr>
            <w:tcW w:w="1701" w:type="dxa"/>
          </w:tcPr>
          <w:p w:rsidR="00F96C99" w:rsidRPr="007A7708" w:rsidRDefault="00F96C99" w:rsidP="003A0B11">
            <w:pPr>
              <w:spacing w:before="120" w:after="120"/>
              <w:rPr>
                <w:rFonts w:ascii="Times New Roman" w:hAnsi="Times New Roman"/>
                <w:b/>
                <w:sz w:val="24"/>
                <w:szCs w:val="24"/>
              </w:rPr>
            </w:pPr>
            <w:r w:rsidRPr="002204F4">
              <w:rPr>
                <w:rFonts w:ascii="Times New Roman" w:hAnsi="Times New Roman"/>
                <w:b/>
                <w:i/>
                <w:sz w:val="24"/>
                <w:szCs w:val="24"/>
              </w:rPr>
              <w:t>Property</w:t>
            </w:r>
          </w:p>
        </w:tc>
        <w:tc>
          <w:tcPr>
            <w:tcW w:w="7370" w:type="dxa"/>
          </w:tcPr>
          <w:p w:rsidR="00F96C99" w:rsidRDefault="00F96C99" w:rsidP="00EA44DB">
            <w:pPr>
              <w:spacing w:before="120" w:after="120"/>
              <w:jc w:val="both"/>
              <w:rPr>
                <w:rFonts w:ascii="Times New Roman" w:hAnsi="Times New Roman"/>
                <w:sz w:val="24"/>
                <w:szCs w:val="24"/>
              </w:rPr>
            </w:pPr>
            <w:r w:rsidRPr="00614854">
              <w:rPr>
                <w:rFonts w:ascii="Times New Roman" w:hAnsi="Times New Roman"/>
                <w:sz w:val="24"/>
                <w:szCs w:val="24"/>
              </w:rPr>
              <w:t xml:space="preserve">Represents an investment in real estate where the earnings and capital value are dependent on cash flows generated by the property through sale or rental income. </w:t>
            </w:r>
          </w:p>
          <w:p w:rsidR="00A54FBB" w:rsidRPr="007A7708" w:rsidRDefault="00A54FBB" w:rsidP="00EA44DB">
            <w:pPr>
              <w:spacing w:before="120" w:after="120"/>
              <w:jc w:val="both"/>
              <w:rPr>
                <w:rFonts w:ascii="Times New Roman" w:hAnsi="Times New Roman"/>
                <w:sz w:val="24"/>
                <w:szCs w:val="24"/>
              </w:rPr>
            </w:pPr>
          </w:p>
        </w:tc>
      </w:tr>
      <w:tr w:rsidR="00F96C99" w:rsidRPr="007A7708" w:rsidTr="00AA6C7C">
        <w:tc>
          <w:tcPr>
            <w:tcW w:w="1701" w:type="dxa"/>
          </w:tcPr>
          <w:p w:rsidR="00F96C99" w:rsidRPr="007A7708" w:rsidRDefault="00F96C99" w:rsidP="003A0B11">
            <w:pPr>
              <w:spacing w:before="120" w:after="120"/>
              <w:rPr>
                <w:rFonts w:ascii="Times New Roman" w:hAnsi="Times New Roman"/>
                <w:b/>
                <w:sz w:val="24"/>
                <w:szCs w:val="24"/>
              </w:rPr>
            </w:pPr>
            <w:r w:rsidRPr="002204F4">
              <w:rPr>
                <w:rFonts w:ascii="Times New Roman" w:hAnsi="Times New Roman"/>
                <w:b/>
                <w:i/>
                <w:sz w:val="24"/>
                <w:szCs w:val="24"/>
              </w:rPr>
              <w:lastRenderedPageBreak/>
              <w:t>Infrastructure</w:t>
            </w:r>
          </w:p>
        </w:tc>
        <w:tc>
          <w:tcPr>
            <w:tcW w:w="7370" w:type="dxa"/>
          </w:tcPr>
          <w:p w:rsidR="00F96C99" w:rsidRPr="007A7708" w:rsidRDefault="00F96C99" w:rsidP="002E712E">
            <w:pPr>
              <w:spacing w:before="120" w:after="120"/>
              <w:jc w:val="both"/>
              <w:rPr>
                <w:rFonts w:ascii="Times New Roman" w:hAnsi="Times New Roman"/>
                <w:sz w:val="24"/>
                <w:szCs w:val="24"/>
              </w:rPr>
            </w:pPr>
            <w:r w:rsidRPr="00BC2D1F">
              <w:rPr>
                <w:rFonts w:ascii="Times New Roman" w:hAnsi="Times New Roman"/>
                <w:sz w:val="24"/>
                <w:szCs w:val="24"/>
              </w:rPr>
              <w:t xml:space="preserve">Represents the basic physical systems of a country, state or region including transportation, communication, utilities, and public institutions. </w:t>
            </w:r>
          </w:p>
        </w:tc>
      </w:tr>
      <w:tr w:rsidR="00F96C99" w:rsidRPr="007A7708" w:rsidTr="00AA6C7C">
        <w:tc>
          <w:tcPr>
            <w:tcW w:w="1701" w:type="dxa"/>
          </w:tcPr>
          <w:p w:rsidR="00F96C99" w:rsidRPr="007A7708" w:rsidRDefault="00F96C99" w:rsidP="003A0B11">
            <w:pPr>
              <w:spacing w:before="120" w:after="120"/>
              <w:rPr>
                <w:rFonts w:ascii="Times New Roman" w:hAnsi="Times New Roman"/>
                <w:b/>
                <w:sz w:val="24"/>
                <w:szCs w:val="24"/>
              </w:rPr>
            </w:pPr>
            <w:r w:rsidRPr="002204F4">
              <w:rPr>
                <w:rFonts w:ascii="Times New Roman" w:hAnsi="Times New Roman"/>
                <w:b/>
                <w:i/>
                <w:sz w:val="24"/>
                <w:szCs w:val="24"/>
              </w:rPr>
              <w:t>Commodities</w:t>
            </w:r>
          </w:p>
        </w:tc>
        <w:tc>
          <w:tcPr>
            <w:tcW w:w="7370" w:type="dxa"/>
          </w:tcPr>
          <w:p w:rsidR="00F96C99" w:rsidRPr="007A7708" w:rsidRDefault="002E712E" w:rsidP="00EA44DB">
            <w:pPr>
              <w:spacing w:before="120" w:after="120"/>
              <w:jc w:val="both"/>
              <w:rPr>
                <w:rFonts w:ascii="Times New Roman" w:hAnsi="Times New Roman"/>
                <w:sz w:val="24"/>
                <w:szCs w:val="24"/>
              </w:rPr>
            </w:pPr>
            <w:r w:rsidRPr="00BC2D1F">
              <w:rPr>
                <w:rFonts w:ascii="Times New Roman" w:hAnsi="Times New Roman"/>
                <w:sz w:val="24"/>
                <w:szCs w:val="24"/>
              </w:rPr>
              <w:t xml:space="preserve">Represents </w:t>
            </w:r>
            <w:r w:rsidRPr="00AD4AD8">
              <w:rPr>
                <w:rFonts w:ascii="Times New Roman" w:hAnsi="Times New Roman"/>
                <w:sz w:val="24"/>
                <w:szCs w:val="24"/>
              </w:rPr>
              <w:t>natural resources that are either grown or extracted from the ground and are often used as inputs in the production of other goods or services.</w:t>
            </w:r>
          </w:p>
        </w:tc>
      </w:tr>
    </w:tbl>
    <w:p w:rsidR="00F96C99" w:rsidRPr="00DD6368" w:rsidRDefault="00757633" w:rsidP="00F96C99">
      <w:pPr>
        <w:spacing w:before="240" w:after="240"/>
        <w:jc w:val="both"/>
        <w:rPr>
          <w:rFonts w:ascii="Arial" w:hAnsi="Arial" w:cs="Arial"/>
          <w:b/>
          <w:sz w:val="24"/>
          <w:szCs w:val="24"/>
        </w:rPr>
      </w:pPr>
      <w:r w:rsidRPr="00F4321B">
        <w:rPr>
          <w:rFonts w:ascii="Arial" w:hAnsi="Arial" w:cs="Arial"/>
          <w:b/>
          <w:sz w:val="24"/>
          <w:szCs w:val="24"/>
        </w:rPr>
        <w:t>D</w:t>
      </w:r>
      <w:r w:rsidR="00F96C99" w:rsidRPr="00DD6368">
        <w:rPr>
          <w:rFonts w:ascii="Arial" w:hAnsi="Arial" w:cs="Arial"/>
          <w:b/>
          <w:sz w:val="24"/>
          <w:szCs w:val="24"/>
        </w:rPr>
        <w:t>omicile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1"/>
      </w:tblGrid>
      <w:tr w:rsidR="00F4321B" w:rsidRPr="00F4321B" w:rsidTr="00F4321B">
        <w:trPr>
          <w:trHeight w:val="274"/>
        </w:trPr>
        <w:tc>
          <w:tcPr>
            <w:tcW w:w="1560" w:type="dxa"/>
            <w:shd w:val="clear" w:color="auto" w:fill="auto"/>
          </w:tcPr>
          <w:p w:rsidR="00F96C99" w:rsidRPr="00747C50" w:rsidRDefault="00F96C99" w:rsidP="00EA44DB">
            <w:pPr>
              <w:spacing w:before="120" w:after="120"/>
              <w:rPr>
                <w:rFonts w:ascii="Times New Roman" w:hAnsi="Times New Roman"/>
                <w:b/>
                <w:i/>
                <w:sz w:val="24"/>
                <w:szCs w:val="24"/>
              </w:rPr>
            </w:pPr>
            <w:r w:rsidRPr="00747C50">
              <w:rPr>
                <w:rFonts w:ascii="Times New Roman" w:hAnsi="Times New Roman"/>
                <w:b/>
                <w:i/>
                <w:sz w:val="24"/>
                <w:szCs w:val="24"/>
              </w:rPr>
              <w:t>Australian domicile</w:t>
            </w:r>
          </w:p>
        </w:tc>
        <w:tc>
          <w:tcPr>
            <w:tcW w:w="7511" w:type="dxa"/>
            <w:shd w:val="clear" w:color="auto" w:fill="auto"/>
          </w:tcPr>
          <w:p w:rsidR="00F96C99" w:rsidRPr="00DD6368" w:rsidRDefault="00F96C99" w:rsidP="00EA44DB">
            <w:pPr>
              <w:spacing w:before="120" w:after="120"/>
              <w:jc w:val="both"/>
              <w:rPr>
                <w:rFonts w:ascii="Times New Roman" w:hAnsi="Times New Roman"/>
                <w:sz w:val="24"/>
                <w:szCs w:val="24"/>
              </w:rPr>
            </w:pPr>
            <w:r w:rsidRPr="00F4321B">
              <w:rPr>
                <w:rFonts w:ascii="Times New Roman" w:hAnsi="Times New Roman"/>
                <w:sz w:val="24"/>
              </w:rPr>
              <w:t xml:space="preserve">Represents </w:t>
            </w:r>
            <w:r w:rsidRPr="00DD6368">
              <w:rPr>
                <w:rFonts w:ascii="Times New Roman" w:hAnsi="Times New Roman"/>
                <w:sz w:val="24"/>
                <w:szCs w:val="24"/>
              </w:rPr>
              <w:t>investments issued</w:t>
            </w:r>
            <w:r w:rsidRPr="00F4321B">
              <w:rPr>
                <w:rFonts w:ascii="Times New Roman" w:hAnsi="Times New Roman"/>
                <w:sz w:val="24"/>
              </w:rPr>
              <w:t xml:space="preserve"> in Australia.</w:t>
            </w:r>
          </w:p>
        </w:tc>
      </w:tr>
      <w:tr w:rsidR="00F96C99" w:rsidRPr="00970E44" w:rsidTr="00F4321B">
        <w:trPr>
          <w:trHeight w:val="70"/>
        </w:trPr>
        <w:tc>
          <w:tcPr>
            <w:tcW w:w="1560" w:type="dxa"/>
            <w:shd w:val="clear" w:color="auto" w:fill="auto"/>
          </w:tcPr>
          <w:p w:rsidR="00F96C99" w:rsidRPr="00F4321B" w:rsidRDefault="00F96C99" w:rsidP="00EA44DB">
            <w:pPr>
              <w:spacing w:before="120" w:after="120"/>
              <w:rPr>
                <w:rFonts w:ascii="Times New Roman" w:hAnsi="Times New Roman"/>
                <w:b/>
                <w:i/>
                <w:sz w:val="24"/>
                <w:szCs w:val="24"/>
              </w:rPr>
            </w:pPr>
            <w:r w:rsidRPr="00F4321B">
              <w:rPr>
                <w:rFonts w:ascii="Times New Roman" w:hAnsi="Times New Roman"/>
                <w:b/>
                <w:i/>
                <w:sz w:val="24"/>
                <w:szCs w:val="24"/>
              </w:rPr>
              <w:t>International domicile</w:t>
            </w:r>
          </w:p>
        </w:tc>
        <w:tc>
          <w:tcPr>
            <w:tcW w:w="7511" w:type="dxa"/>
            <w:shd w:val="clear" w:color="auto" w:fill="auto"/>
          </w:tcPr>
          <w:p w:rsidR="00F96C99" w:rsidRPr="00DD6368" w:rsidRDefault="00F96C99" w:rsidP="00EA44DB">
            <w:pPr>
              <w:spacing w:before="120" w:after="120"/>
              <w:jc w:val="both"/>
              <w:rPr>
                <w:rFonts w:ascii="Times New Roman" w:hAnsi="Times New Roman"/>
                <w:sz w:val="24"/>
                <w:szCs w:val="24"/>
              </w:rPr>
            </w:pPr>
            <w:r w:rsidRPr="00F4321B">
              <w:rPr>
                <w:rFonts w:ascii="Times New Roman" w:hAnsi="Times New Roman"/>
                <w:sz w:val="24"/>
              </w:rPr>
              <w:t xml:space="preserve">Represents </w:t>
            </w:r>
            <w:r w:rsidRPr="00DD6368">
              <w:rPr>
                <w:rFonts w:ascii="Times New Roman" w:hAnsi="Times New Roman"/>
                <w:sz w:val="24"/>
                <w:szCs w:val="24"/>
              </w:rPr>
              <w:t>investments issued</w:t>
            </w:r>
            <w:r w:rsidRPr="00F4321B">
              <w:rPr>
                <w:rFonts w:ascii="Times New Roman" w:hAnsi="Times New Roman"/>
                <w:sz w:val="24"/>
              </w:rPr>
              <w:t xml:space="preserve"> outside Australia</w:t>
            </w:r>
            <w:r w:rsidRPr="00DD6368">
              <w:rPr>
                <w:rFonts w:ascii="Times New Roman" w:hAnsi="Times New Roman"/>
                <w:sz w:val="24"/>
                <w:szCs w:val="24"/>
              </w:rPr>
              <w:t>.</w:t>
            </w:r>
          </w:p>
        </w:tc>
      </w:tr>
    </w:tbl>
    <w:p w:rsidR="00F96C99" w:rsidRDefault="00A63ECC" w:rsidP="00F96C99">
      <w:pPr>
        <w:spacing w:before="240" w:after="240"/>
        <w:jc w:val="both"/>
        <w:rPr>
          <w:rFonts w:ascii="Arial" w:hAnsi="Arial" w:cs="Arial"/>
          <w:b/>
          <w:sz w:val="24"/>
          <w:szCs w:val="24"/>
        </w:rPr>
      </w:pPr>
      <w:r>
        <w:rPr>
          <w:rFonts w:ascii="Arial" w:hAnsi="Arial" w:cs="Arial"/>
          <w:b/>
          <w:sz w:val="24"/>
          <w:szCs w:val="24"/>
        </w:rPr>
        <w:t>Asset l</w:t>
      </w:r>
      <w:r w:rsidR="00F96C99">
        <w:rPr>
          <w:rFonts w:ascii="Arial" w:hAnsi="Arial" w:cs="Arial"/>
          <w:b/>
          <w:sz w:val="24"/>
          <w:szCs w:val="24"/>
        </w:rPr>
        <w:t>isting type</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1"/>
      </w:tblGrid>
      <w:tr w:rsidR="002E712E" w:rsidRPr="00970E44" w:rsidTr="00F4321B">
        <w:trPr>
          <w:trHeight w:val="274"/>
        </w:trPr>
        <w:tc>
          <w:tcPr>
            <w:tcW w:w="1560" w:type="dxa"/>
            <w:shd w:val="clear" w:color="auto" w:fill="auto"/>
          </w:tcPr>
          <w:p w:rsidR="002E712E" w:rsidRPr="00970E44" w:rsidRDefault="002E712E" w:rsidP="00EA44DB">
            <w:pPr>
              <w:spacing w:before="120" w:after="120"/>
              <w:rPr>
                <w:rFonts w:ascii="Times New Roman" w:hAnsi="Times New Roman"/>
                <w:b/>
                <w:i/>
                <w:sz w:val="24"/>
                <w:szCs w:val="24"/>
              </w:rPr>
            </w:pPr>
            <w:r>
              <w:rPr>
                <w:rFonts w:ascii="Times New Roman" w:hAnsi="Times New Roman"/>
                <w:b/>
                <w:i/>
                <w:sz w:val="24"/>
                <w:szCs w:val="24"/>
              </w:rPr>
              <w:t>Listed</w:t>
            </w:r>
          </w:p>
        </w:tc>
        <w:tc>
          <w:tcPr>
            <w:tcW w:w="7511" w:type="dxa"/>
          </w:tcPr>
          <w:p w:rsidR="002E712E" w:rsidRPr="00970E44" w:rsidRDefault="002E712E" w:rsidP="00EA44DB">
            <w:pPr>
              <w:spacing w:before="120" w:after="120"/>
              <w:jc w:val="both"/>
              <w:rPr>
                <w:rFonts w:ascii="Times New Roman" w:hAnsi="Times New Roman"/>
                <w:sz w:val="24"/>
                <w:szCs w:val="24"/>
              </w:rPr>
            </w:pPr>
            <w:r w:rsidRPr="00970E44">
              <w:rPr>
                <w:rFonts w:ascii="Times New Roman" w:hAnsi="Times New Roman"/>
                <w:sz w:val="24"/>
                <w:szCs w:val="24"/>
              </w:rPr>
              <w:t xml:space="preserve">Represents </w:t>
            </w:r>
            <w:r w:rsidRPr="00E562F5">
              <w:rPr>
                <w:rFonts w:ascii="Times New Roman" w:hAnsi="Times New Roman"/>
                <w:sz w:val="24"/>
                <w:szCs w:val="24"/>
              </w:rPr>
              <w:t xml:space="preserve">financial instrument that is traded through </w:t>
            </w:r>
            <w:r>
              <w:rPr>
                <w:rFonts w:ascii="Times New Roman" w:hAnsi="Times New Roman"/>
                <w:sz w:val="24"/>
                <w:szCs w:val="24"/>
              </w:rPr>
              <w:t>an Australian or international stock exchange.</w:t>
            </w:r>
          </w:p>
        </w:tc>
      </w:tr>
      <w:tr w:rsidR="00DB2B19" w:rsidRPr="00970E44" w:rsidTr="00F4321B">
        <w:trPr>
          <w:trHeight w:val="274"/>
        </w:trPr>
        <w:tc>
          <w:tcPr>
            <w:tcW w:w="1560" w:type="dxa"/>
            <w:shd w:val="clear" w:color="auto" w:fill="auto"/>
          </w:tcPr>
          <w:p w:rsidR="00DB2B19" w:rsidRDefault="00DB2B19" w:rsidP="00EA44DB">
            <w:pPr>
              <w:spacing w:before="120" w:after="120"/>
              <w:rPr>
                <w:rFonts w:ascii="Times New Roman" w:hAnsi="Times New Roman"/>
                <w:b/>
                <w:i/>
                <w:sz w:val="24"/>
                <w:szCs w:val="24"/>
              </w:rPr>
            </w:pPr>
            <w:r>
              <w:rPr>
                <w:rFonts w:ascii="Times New Roman" w:hAnsi="Times New Roman"/>
                <w:b/>
                <w:i/>
                <w:sz w:val="24"/>
                <w:szCs w:val="24"/>
              </w:rPr>
              <w:t>Unlisted</w:t>
            </w:r>
          </w:p>
        </w:tc>
        <w:tc>
          <w:tcPr>
            <w:tcW w:w="7511" w:type="dxa"/>
          </w:tcPr>
          <w:p w:rsidR="00DB2B19" w:rsidRPr="00970E44" w:rsidRDefault="00DB2B19" w:rsidP="00EA44DB">
            <w:pPr>
              <w:spacing w:before="120" w:after="120"/>
              <w:jc w:val="both"/>
              <w:rPr>
                <w:rFonts w:ascii="Times New Roman" w:hAnsi="Times New Roman"/>
                <w:sz w:val="24"/>
                <w:szCs w:val="24"/>
              </w:rPr>
            </w:pPr>
            <w:r w:rsidRPr="00970E44">
              <w:rPr>
                <w:rFonts w:ascii="Times New Roman" w:hAnsi="Times New Roman"/>
                <w:sz w:val="24"/>
                <w:szCs w:val="24"/>
              </w:rPr>
              <w:t xml:space="preserve">Represents </w:t>
            </w:r>
            <w:r w:rsidRPr="00E562F5">
              <w:rPr>
                <w:rFonts w:ascii="Times New Roman" w:hAnsi="Times New Roman"/>
                <w:sz w:val="24"/>
                <w:szCs w:val="24"/>
              </w:rPr>
              <w:t xml:space="preserve">financial instrument that is </w:t>
            </w:r>
            <w:r>
              <w:rPr>
                <w:rFonts w:ascii="Times New Roman" w:hAnsi="Times New Roman"/>
                <w:sz w:val="24"/>
                <w:szCs w:val="24"/>
              </w:rPr>
              <w:t xml:space="preserve">not </w:t>
            </w:r>
            <w:r w:rsidRPr="00E562F5">
              <w:rPr>
                <w:rFonts w:ascii="Times New Roman" w:hAnsi="Times New Roman"/>
                <w:sz w:val="24"/>
                <w:szCs w:val="24"/>
              </w:rPr>
              <w:t xml:space="preserve">traded through </w:t>
            </w:r>
            <w:r>
              <w:rPr>
                <w:rFonts w:ascii="Times New Roman" w:hAnsi="Times New Roman"/>
                <w:sz w:val="24"/>
                <w:szCs w:val="24"/>
              </w:rPr>
              <w:t>an Australian or international stock exchange.</w:t>
            </w:r>
          </w:p>
        </w:tc>
      </w:tr>
    </w:tbl>
    <w:p w:rsidR="00F96C99" w:rsidRDefault="00F96C99" w:rsidP="00F96C99">
      <w:pPr>
        <w:spacing w:before="240" w:after="240"/>
        <w:jc w:val="both"/>
        <w:rPr>
          <w:rFonts w:ascii="Arial" w:hAnsi="Arial" w:cs="Arial"/>
          <w:b/>
          <w:sz w:val="24"/>
          <w:szCs w:val="24"/>
        </w:rPr>
      </w:pPr>
      <w:r>
        <w:rPr>
          <w:rFonts w:ascii="Arial" w:hAnsi="Arial" w:cs="Arial"/>
          <w:b/>
          <w:sz w:val="24"/>
          <w:szCs w:val="24"/>
        </w:rPr>
        <w:t>Fixed income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1"/>
      </w:tblGrid>
      <w:tr w:rsidR="00F96C99" w:rsidRPr="00970E44" w:rsidTr="00F4321B">
        <w:trPr>
          <w:trHeight w:val="274"/>
        </w:trPr>
        <w:tc>
          <w:tcPr>
            <w:tcW w:w="1560" w:type="dxa"/>
            <w:shd w:val="clear" w:color="auto" w:fill="auto"/>
          </w:tcPr>
          <w:p w:rsidR="00F96C99" w:rsidRPr="00970E44" w:rsidRDefault="00F96C99" w:rsidP="00EA44DB">
            <w:pPr>
              <w:spacing w:before="120" w:after="120"/>
              <w:rPr>
                <w:rFonts w:ascii="Times New Roman" w:hAnsi="Times New Roman"/>
                <w:b/>
                <w:i/>
                <w:sz w:val="24"/>
                <w:szCs w:val="24"/>
              </w:rPr>
            </w:pPr>
            <w:r>
              <w:rPr>
                <w:rFonts w:ascii="Times New Roman" w:hAnsi="Times New Roman"/>
                <w:b/>
                <w:i/>
                <w:sz w:val="24"/>
                <w:szCs w:val="24"/>
              </w:rPr>
              <w:t>Government debt</w:t>
            </w:r>
          </w:p>
        </w:tc>
        <w:tc>
          <w:tcPr>
            <w:tcW w:w="7511" w:type="dxa"/>
            <w:shd w:val="clear" w:color="auto" w:fill="auto"/>
          </w:tcPr>
          <w:p w:rsidR="00F96C99" w:rsidRPr="00970E44" w:rsidRDefault="00F96C99" w:rsidP="00EA44DB">
            <w:pPr>
              <w:spacing w:before="120" w:after="120"/>
              <w:jc w:val="both"/>
              <w:rPr>
                <w:rFonts w:ascii="Times New Roman" w:hAnsi="Times New Roman"/>
                <w:sz w:val="24"/>
                <w:szCs w:val="24"/>
              </w:rPr>
            </w:pPr>
            <w:r w:rsidRPr="00970E44">
              <w:rPr>
                <w:rFonts w:ascii="Times New Roman" w:hAnsi="Times New Roman"/>
                <w:sz w:val="24"/>
                <w:szCs w:val="24"/>
              </w:rPr>
              <w:t xml:space="preserve">Represents </w:t>
            </w:r>
            <w:r>
              <w:rPr>
                <w:rFonts w:ascii="Times New Roman" w:hAnsi="Times New Roman"/>
                <w:sz w:val="24"/>
                <w:szCs w:val="24"/>
              </w:rPr>
              <w:t xml:space="preserve">a debt security issued by a </w:t>
            </w:r>
            <w:r w:rsidRPr="00FD3FAB">
              <w:rPr>
                <w:rFonts w:ascii="Times New Roman" w:hAnsi="Times New Roman"/>
                <w:color w:val="000000"/>
                <w:sz w:val="24"/>
                <w:szCs w:val="24"/>
              </w:rPr>
              <w:t>federal, state, territory or local governments, or corporations owned or controlled by a federal, state, territory or local government.</w:t>
            </w:r>
          </w:p>
        </w:tc>
      </w:tr>
      <w:tr w:rsidR="00F96C99" w:rsidRPr="00970E44" w:rsidTr="00F4321B">
        <w:trPr>
          <w:trHeight w:val="70"/>
        </w:trPr>
        <w:tc>
          <w:tcPr>
            <w:tcW w:w="1560" w:type="dxa"/>
            <w:shd w:val="clear" w:color="auto" w:fill="auto"/>
          </w:tcPr>
          <w:p w:rsidR="00F96C99" w:rsidRPr="00970E44" w:rsidRDefault="00F96C99" w:rsidP="00EA44DB">
            <w:pPr>
              <w:spacing w:before="120" w:after="120"/>
              <w:rPr>
                <w:rFonts w:ascii="Times New Roman" w:hAnsi="Times New Roman"/>
                <w:b/>
                <w:i/>
                <w:sz w:val="24"/>
                <w:szCs w:val="24"/>
              </w:rPr>
            </w:pPr>
            <w:r>
              <w:rPr>
                <w:rFonts w:ascii="Times New Roman" w:hAnsi="Times New Roman"/>
                <w:b/>
                <w:i/>
                <w:sz w:val="24"/>
                <w:szCs w:val="24"/>
              </w:rPr>
              <w:t>Non Government debt</w:t>
            </w:r>
          </w:p>
        </w:tc>
        <w:tc>
          <w:tcPr>
            <w:tcW w:w="7511" w:type="dxa"/>
            <w:shd w:val="clear" w:color="auto" w:fill="auto"/>
          </w:tcPr>
          <w:p w:rsidR="00F96C99" w:rsidRPr="00970E44" w:rsidRDefault="00F96C99" w:rsidP="00EA44DB">
            <w:pPr>
              <w:spacing w:before="120" w:after="120"/>
              <w:jc w:val="both"/>
              <w:rPr>
                <w:rFonts w:ascii="Times New Roman" w:hAnsi="Times New Roman"/>
                <w:sz w:val="24"/>
                <w:szCs w:val="24"/>
              </w:rPr>
            </w:pPr>
            <w:r w:rsidRPr="00970E44">
              <w:rPr>
                <w:rFonts w:ascii="Times New Roman" w:hAnsi="Times New Roman"/>
                <w:sz w:val="24"/>
                <w:szCs w:val="24"/>
              </w:rPr>
              <w:t xml:space="preserve">Represents </w:t>
            </w:r>
            <w:r w:rsidRPr="00FD3FAB">
              <w:rPr>
                <w:rFonts w:ascii="Times New Roman" w:hAnsi="Times New Roman"/>
                <w:color w:val="000000"/>
                <w:sz w:val="24"/>
                <w:szCs w:val="24"/>
              </w:rPr>
              <w:t xml:space="preserve">a </w:t>
            </w:r>
            <w:r>
              <w:rPr>
                <w:rFonts w:ascii="Times New Roman" w:hAnsi="Times New Roman"/>
                <w:color w:val="000000"/>
                <w:sz w:val="24"/>
                <w:szCs w:val="24"/>
              </w:rPr>
              <w:t xml:space="preserve">debt security issued by a </w:t>
            </w:r>
            <w:r w:rsidRPr="00FD3FAB">
              <w:rPr>
                <w:rFonts w:ascii="Times New Roman" w:hAnsi="Times New Roman"/>
                <w:color w:val="000000"/>
                <w:sz w:val="24"/>
                <w:szCs w:val="24"/>
              </w:rPr>
              <w:t>corporation that is not owned or controlled by a federal, state, territory or local government.</w:t>
            </w:r>
          </w:p>
        </w:tc>
      </w:tr>
      <w:tr w:rsidR="00F96C99" w:rsidRPr="00970E44" w:rsidTr="00F4321B">
        <w:trPr>
          <w:trHeight w:val="70"/>
        </w:trPr>
        <w:tc>
          <w:tcPr>
            <w:tcW w:w="1560" w:type="dxa"/>
            <w:shd w:val="clear" w:color="auto" w:fill="auto"/>
          </w:tcPr>
          <w:p w:rsidR="00F96C99" w:rsidRDefault="00F96C99" w:rsidP="00EA44DB">
            <w:pPr>
              <w:spacing w:before="120" w:after="120"/>
              <w:rPr>
                <w:rFonts w:ascii="Times New Roman" w:hAnsi="Times New Roman"/>
                <w:b/>
                <w:i/>
                <w:sz w:val="24"/>
                <w:szCs w:val="24"/>
              </w:rPr>
            </w:pPr>
            <w:r>
              <w:rPr>
                <w:rFonts w:ascii="Times New Roman" w:hAnsi="Times New Roman"/>
                <w:b/>
                <w:i/>
                <w:sz w:val="24"/>
                <w:szCs w:val="24"/>
              </w:rPr>
              <w:t>Mortgage debt</w:t>
            </w:r>
          </w:p>
        </w:tc>
        <w:tc>
          <w:tcPr>
            <w:tcW w:w="7511" w:type="dxa"/>
            <w:shd w:val="clear" w:color="auto" w:fill="auto"/>
          </w:tcPr>
          <w:p w:rsidR="00F96C99" w:rsidRPr="00970E44" w:rsidRDefault="00F96C99" w:rsidP="00EA44DB">
            <w:pPr>
              <w:spacing w:before="120" w:after="120"/>
              <w:jc w:val="both"/>
              <w:rPr>
                <w:rFonts w:ascii="Times New Roman" w:hAnsi="Times New Roman"/>
                <w:sz w:val="24"/>
                <w:szCs w:val="24"/>
              </w:rPr>
            </w:pPr>
            <w:r>
              <w:rPr>
                <w:rFonts w:ascii="Times New Roman" w:hAnsi="Times New Roman"/>
                <w:sz w:val="24"/>
                <w:szCs w:val="24"/>
              </w:rPr>
              <w:t xml:space="preserve">Represents </w:t>
            </w:r>
            <w:r w:rsidRPr="00FD3FAB">
              <w:rPr>
                <w:rFonts w:ascii="Times New Roman" w:hAnsi="Times New Roman"/>
                <w:sz w:val="24"/>
                <w:szCs w:val="24"/>
              </w:rPr>
              <w:t xml:space="preserve">a debt security </w:t>
            </w:r>
            <w:r w:rsidRPr="00FD3FAB">
              <w:rPr>
                <w:rFonts w:ascii="Times New Roman" w:hAnsi="Times New Roman"/>
                <w:color w:val="000000"/>
                <w:sz w:val="24"/>
                <w:szCs w:val="24"/>
              </w:rPr>
              <w:t>where specific mortgage assets are provided as collateral</w:t>
            </w:r>
            <w:r>
              <w:rPr>
                <w:rFonts w:ascii="Times New Roman" w:hAnsi="Times New Roman"/>
                <w:color w:val="000000"/>
                <w:sz w:val="24"/>
                <w:szCs w:val="24"/>
              </w:rPr>
              <w:t>.</w:t>
            </w:r>
          </w:p>
        </w:tc>
      </w:tr>
      <w:tr w:rsidR="00F96C99" w:rsidRPr="00970E44" w:rsidTr="00F4321B">
        <w:trPr>
          <w:trHeight w:val="70"/>
        </w:trPr>
        <w:tc>
          <w:tcPr>
            <w:tcW w:w="1560" w:type="dxa"/>
            <w:shd w:val="clear" w:color="auto" w:fill="auto"/>
          </w:tcPr>
          <w:p w:rsidR="00F96C99" w:rsidRDefault="00F96C99" w:rsidP="00EA44DB">
            <w:pPr>
              <w:spacing w:before="120" w:after="120"/>
              <w:rPr>
                <w:rFonts w:ascii="Times New Roman" w:hAnsi="Times New Roman"/>
                <w:b/>
                <w:i/>
                <w:sz w:val="24"/>
                <w:szCs w:val="24"/>
              </w:rPr>
            </w:pPr>
            <w:r>
              <w:rPr>
                <w:rFonts w:ascii="Times New Roman" w:hAnsi="Times New Roman"/>
                <w:b/>
                <w:i/>
                <w:sz w:val="24"/>
                <w:szCs w:val="24"/>
              </w:rPr>
              <w:t>Credit</w:t>
            </w:r>
          </w:p>
        </w:tc>
        <w:tc>
          <w:tcPr>
            <w:tcW w:w="7511" w:type="dxa"/>
            <w:shd w:val="clear" w:color="auto" w:fill="auto"/>
          </w:tcPr>
          <w:p w:rsidR="00F96C99" w:rsidRPr="00970E44" w:rsidRDefault="002E712E" w:rsidP="00EA44DB">
            <w:pPr>
              <w:spacing w:before="120" w:after="120"/>
              <w:jc w:val="both"/>
              <w:rPr>
                <w:rFonts w:ascii="Times New Roman" w:hAnsi="Times New Roman"/>
                <w:sz w:val="24"/>
                <w:szCs w:val="24"/>
              </w:rPr>
            </w:pPr>
            <w:r>
              <w:rPr>
                <w:rFonts w:ascii="Times New Roman" w:hAnsi="Times New Roman"/>
                <w:sz w:val="24"/>
                <w:szCs w:val="24"/>
              </w:rPr>
              <w:t xml:space="preserve">Represents </w:t>
            </w:r>
            <w:r w:rsidRPr="00FD3FAB">
              <w:rPr>
                <w:rFonts w:ascii="Times New Roman" w:hAnsi="Times New Roman"/>
                <w:sz w:val="24"/>
                <w:szCs w:val="24"/>
              </w:rPr>
              <w:t xml:space="preserve">a </w:t>
            </w:r>
            <w:r>
              <w:rPr>
                <w:rFonts w:ascii="Times New Roman" w:hAnsi="Times New Roman"/>
                <w:color w:val="000000"/>
                <w:sz w:val="24"/>
                <w:szCs w:val="24"/>
              </w:rPr>
              <w:t>loan, a placement</w:t>
            </w:r>
            <w:r w:rsidRPr="00FD3FAB">
              <w:rPr>
                <w:rFonts w:ascii="Times New Roman" w:hAnsi="Times New Roman"/>
                <w:sz w:val="24"/>
                <w:szCs w:val="24"/>
              </w:rPr>
              <w:t xml:space="preserve"> </w:t>
            </w:r>
            <w:r>
              <w:rPr>
                <w:rFonts w:ascii="Times New Roman" w:hAnsi="Times New Roman"/>
                <w:sz w:val="24"/>
                <w:szCs w:val="24"/>
              </w:rPr>
              <w:t xml:space="preserve">or a </w:t>
            </w:r>
            <w:r w:rsidRPr="00FD3FAB">
              <w:rPr>
                <w:rFonts w:ascii="Times New Roman" w:hAnsi="Times New Roman"/>
                <w:sz w:val="24"/>
                <w:szCs w:val="24"/>
              </w:rPr>
              <w:t xml:space="preserve">debt security </w:t>
            </w:r>
            <w:r w:rsidRPr="00FD3FAB">
              <w:rPr>
                <w:rFonts w:ascii="Times New Roman" w:hAnsi="Times New Roman"/>
                <w:color w:val="000000"/>
                <w:sz w:val="24"/>
                <w:szCs w:val="24"/>
              </w:rPr>
              <w:t>where specific non-mortgage assets are provided as collateral</w:t>
            </w:r>
            <w:r w:rsidR="00F96C99">
              <w:rPr>
                <w:rFonts w:ascii="Times New Roman" w:hAnsi="Times New Roman"/>
                <w:color w:val="000000"/>
                <w:sz w:val="24"/>
                <w:szCs w:val="24"/>
              </w:rPr>
              <w:t>.</w:t>
            </w:r>
          </w:p>
        </w:tc>
      </w:tr>
    </w:tbl>
    <w:p w:rsidR="00F96C99" w:rsidRDefault="00F96C99" w:rsidP="00F96C99">
      <w:pPr>
        <w:spacing w:before="240" w:after="240"/>
        <w:jc w:val="both"/>
        <w:rPr>
          <w:rFonts w:ascii="Arial" w:hAnsi="Arial" w:cs="Arial"/>
          <w:b/>
          <w:sz w:val="24"/>
          <w:szCs w:val="24"/>
        </w:rPr>
      </w:pPr>
      <w:r>
        <w:rPr>
          <w:rFonts w:ascii="Arial" w:hAnsi="Arial" w:cs="Arial"/>
          <w:b/>
          <w:sz w:val="24"/>
          <w:szCs w:val="24"/>
        </w:rPr>
        <w:t>Manner of investment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0"/>
      </w:tblGrid>
      <w:tr w:rsidR="00F96C99" w:rsidRPr="00970E44" w:rsidTr="003A0B11">
        <w:trPr>
          <w:trHeight w:val="274"/>
        </w:trPr>
        <w:tc>
          <w:tcPr>
            <w:tcW w:w="1701" w:type="dxa"/>
            <w:shd w:val="clear" w:color="auto" w:fill="auto"/>
          </w:tcPr>
          <w:p w:rsidR="00F96C99" w:rsidRPr="00DD6368" w:rsidRDefault="00F96C99" w:rsidP="00EA44DB">
            <w:pPr>
              <w:spacing w:before="120" w:after="120"/>
              <w:rPr>
                <w:rFonts w:ascii="Times New Roman" w:hAnsi="Times New Roman"/>
                <w:b/>
                <w:i/>
                <w:sz w:val="24"/>
                <w:szCs w:val="24"/>
              </w:rPr>
            </w:pPr>
            <w:r w:rsidRPr="00DD6368">
              <w:rPr>
                <w:rFonts w:ascii="Times New Roman" w:hAnsi="Times New Roman"/>
                <w:b/>
                <w:i/>
                <w:sz w:val="24"/>
                <w:szCs w:val="24"/>
              </w:rPr>
              <w:t>Directly held</w:t>
            </w:r>
          </w:p>
        </w:tc>
        <w:tc>
          <w:tcPr>
            <w:tcW w:w="7370" w:type="dxa"/>
            <w:shd w:val="clear" w:color="auto" w:fill="auto"/>
          </w:tcPr>
          <w:p w:rsidR="00F96C99" w:rsidRPr="00383EAA" w:rsidRDefault="00F96C99" w:rsidP="00EA44DB">
            <w:pPr>
              <w:spacing w:before="120" w:after="120"/>
              <w:jc w:val="both"/>
              <w:rPr>
                <w:rFonts w:ascii="Times New Roman" w:hAnsi="Times New Roman"/>
                <w:sz w:val="24"/>
                <w:szCs w:val="24"/>
              </w:rPr>
            </w:pPr>
            <w:r w:rsidRPr="00F4321B">
              <w:rPr>
                <w:rFonts w:ascii="Times New Roman" w:hAnsi="Times New Roman"/>
                <w:sz w:val="24"/>
              </w:rPr>
              <w:t xml:space="preserve">Represents investments made by the RSE in </w:t>
            </w:r>
            <w:r w:rsidRPr="00383EAA">
              <w:rPr>
                <w:rFonts w:ascii="Times New Roman" w:hAnsi="Times New Roman"/>
                <w:sz w:val="24"/>
                <w:szCs w:val="24"/>
              </w:rPr>
              <w:t>its own</w:t>
            </w:r>
            <w:r w:rsidRPr="00F4321B">
              <w:rPr>
                <w:rFonts w:ascii="Times New Roman" w:hAnsi="Times New Roman"/>
                <w:sz w:val="24"/>
              </w:rPr>
              <w:t xml:space="preserve"> name. Includes: investments held by a custodian </w:t>
            </w:r>
            <w:r w:rsidRPr="00DD6368">
              <w:rPr>
                <w:rFonts w:ascii="Times New Roman" w:hAnsi="Times New Roman"/>
                <w:sz w:val="24"/>
                <w:szCs w:val="24"/>
              </w:rPr>
              <w:t xml:space="preserve">in trust </w:t>
            </w:r>
            <w:r w:rsidRPr="00F4321B">
              <w:rPr>
                <w:rFonts w:ascii="Times New Roman" w:hAnsi="Times New Roman"/>
                <w:sz w:val="24"/>
              </w:rPr>
              <w:t>for the RSE.</w:t>
            </w:r>
          </w:p>
        </w:tc>
      </w:tr>
      <w:tr w:rsidR="00F96C99" w:rsidRPr="00970E44" w:rsidTr="003A0B11">
        <w:trPr>
          <w:trHeight w:val="70"/>
        </w:trPr>
        <w:tc>
          <w:tcPr>
            <w:tcW w:w="1701" w:type="dxa"/>
            <w:shd w:val="clear" w:color="auto" w:fill="auto"/>
          </w:tcPr>
          <w:p w:rsidR="00F96C99" w:rsidRPr="00DD6368" w:rsidRDefault="00F96C99" w:rsidP="00EA44DB">
            <w:pPr>
              <w:spacing w:before="120" w:after="120"/>
              <w:rPr>
                <w:rFonts w:ascii="Times New Roman" w:hAnsi="Times New Roman"/>
                <w:b/>
                <w:i/>
                <w:sz w:val="24"/>
                <w:szCs w:val="24"/>
              </w:rPr>
            </w:pPr>
            <w:r w:rsidRPr="00DD6368">
              <w:rPr>
                <w:rFonts w:ascii="Times New Roman" w:hAnsi="Times New Roman"/>
                <w:b/>
                <w:i/>
                <w:sz w:val="24"/>
                <w:szCs w:val="24"/>
              </w:rPr>
              <w:t>Indirectly held</w:t>
            </w:r>
          </w:p>
        </w:tc>
        <w:tc>
          <w:tcPr>
            <w:tcW w:w="7370" w:type="dxa"/>
            <w:shd w:val="clear" w:color="auto" w:fill="auto"/>
          </w:tcPr>
          <w:p w:rsidR="00F96C99" w:rsidRPr="00DD6368" w:rsidRDefault="00F96C99" w:rsidP="00EA44DB">
            <w:pPr>
              <w:spacing w:before="120" w:after="120"/>
              <w:jc w:val="both"/>
              <w:rPr>
                <w:rFonts w:ascii="Times New Roman" w:hAnsi="Times New Roman"/>
                <w:sz w:val="24"/>
                <w:szCs w:val="24"/>
              </w:rPr>
            </w:pPr>
            <w:r w:rsidRPr="00F4321B">
              <w:rPr>
                <w:rFonts w:ascii="Times New Roman" w:hAnsi="Times New Roman"/>
                <w:sz w:val="24"/>
              </w:rPr>
              <w:t xml:space="preserve">Represents </w:t>
            </w:r>
            <w:r w:rsidRPr="00F4321B">
              <w:rPr>
                <w:rFonts w:ascii="Times New Roman" w:hAnsi="Times New Roman"/>
                <w:color w:val="000000"/>
                <w:sz w:val="24"/>
              </w:rPr>
              <w:t>an investment made via an investment vehicle.</w:t>
            </w:r>
          </w:p>
        </w:tc>
      </w:tr>
    </w:tbl>
    <w:p w:rsidR="00A54FBB" w:rsidRDefault="00A54FBB" w:rsidP="00F96C99">
      <w:pPr>
        <w:spacing w:before="240" w:after="240"/>
        <w:jc w:val="both"/>
        <w:rPr>
          <w:rFonts w:ascii="Arial" w:hAnsi="Arial" w:cs="Arial"/>
          <w:b/>
          <w:sz w:val="24"/>
          <w:szCs w:val="24"/>
        </w:rPr>
      </w:pPr>
    </w:p>
    <w:p w:rsidR="00F96C99" w:rsidRDefault="00F96C99" w:rsidP="00F96C99">
      <w:pPr>
        <w:spacing w:before="240" w:after="240"/>
        <w:jc w:val="both"/>
        <w:rPr>
          <w:rFonts w:ascii="Arial" w:hAnsi="Arial" w:cs="Arial"/>
          <w:b/>
          <w:sz w:val="24"/>
          <w:szCs w:val="24"/>
        </w:rPr>
      </w:pPr>
      <w:r>
        <w:rPr>
          <w:rFonts w:ascii="Arial" w:hAnsi="Arial" w:cs="Arial"/>
          <w:b/>
          <w:sz w:val="24"/>
          <w:szCs w:val="24"/>
        </w:rPr>
        <w:lastRenderedPageBreak/>
        <w:t>Investment vehicles</w:t>
      </w:r>
    </w:p>
    <w:tbl>
      <w:tblPr>
        <w:tblW w:w="9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370"/>
      </w:tblGrid>
      <w:tr w:rsidR="002E712E" w:rsidRPr="00970E44" w:rsidTr="003A0B11">
        <w:trPr>
          <w:trHeight w:val="274"/>
        </w:trPr>
        <w:tc>
          <w:tcPr>
            <w:tcW w:w="1791" w:type="dxa"/>
            <w:shd w:val="clear" w:color="auto" w:fill="auto"/>
          </w:tcPr>
          <w:p w:rsidR="002E712E" w:rsidRPr="00970E44" w:rsidRDefault="002E712E" w:rsidP="00EA44DB">
            <w:pPr>
              <w:spacing w:before="120" w:after="120"/>
              <w:rPr>
                <w:rFonts w:ascii="Times New Roman" w:hAnsi="Times New Roman"/>
                <w:b/>
                <w:i/>
                <w:sz w:val="24"/>
                <w:szCs w:val="24"/>
              </w:rPr>
            </w:pPr>
            <w:r w:rsidRPr="00970E44">
              <w:rPr>
                <w:rFonts w:ascii="Times New Roman" w:hAnsi="Times New Roman"/>
                <w:b/>
                <w:i/>
                <w:sz w:val="24"/>
                <w:szCs w:val="24"/>
              </w:rPr>
              <w:t>Cash management trust</w:t>
            </w:r>
          </w:p>
        </w:tc>
        <w:tc>
          <w:tcPr>
            <w:tcW w:w="7370" w:type="dxa"/>
            <w:shd w:val="clear" w:color="auto" w:fill="auto"/>
          </w:tcPr>
          <w:p w:rsidR="002E712E" w:rsidRPr="00970E44" w:rsidRDefault="002E712E" w:rsidP="00EA44DB">
            <w:pPr>
              <w:spacing w:before="120" w:after="120"/>
              <w:jc w:val="both"/>
              <w:rPr>
                <w:rFonts w:ascii="Times New Roman" w:hAnsi="Times New Roman"/>
                <w:sz w:val="24"/>
                <w:szCs w:val="24"/>
              </w:rPr>
            </w:pPr>
            <w:r w:rsidRPr="00970E44">
              <w:rPr>
                <w:rFonts w:ascii="Times New Roman" w:hAnsi="Times New Roman"/>
                <w:sz w:val="24"/>
                <w:szCs w:val="24"/>
              </w:rPr>
              <w:t>Represents a unit trust which is governed by a trust deed which generally confines its investments (as authorised by the trust deed) to financial securities available through the short-term money market. Cash management trusts issue units in the trust that are redeemable by the unit holder on demand.</w:t>
            </w:r>
          </w:p>
        </w:tc>
      </w:tr>
      <w:tr w:rsidR="002E712E" w:rsidRPr="00970E44" w:rsidTr="00383EAA">
        <w:trPr>
          <w:trHeight w:val="70"/>
        </w:trPr>
        <w:tc>
          <w:tcPr>
            <w:tcW w:w="1791" w:type="dxa"/>
            <w:shd w:val="clear" w:color="auto" w:fill="auto"/>
          </w:tcPr>
          <w:p w:rsidR="002E712E" w:rsidRPr="00DD6368" w:rsidRDefault="002E712E" w:rsidP="00EA44DB">
            <w:pPr>
              <w:spacing w:before="120" w:after="120"/>
              <w:rPr>
                <w:rFonts w:ascii="Times New Roman" w:hAnsi="Times New Roman"/>
                <w:b/>
                <w:i/>
                <w:sz w:val="24"/>
                <w:szCs w:val="24"/>
              </w:rPr>
            </w:pPr>
            <w:r w:rsidRPr="00DD6368">
              <w:rPr>
                <w:rFonts w:ascii="Times New Roman" w:hAnsi="Times New Roman"/>
                <w:b/>
                <w:i/>
                <w:sz w:val="24"/>
                <w:szCs w:val="24"/>
              </w:rPr>
              <w:t>Life company guaranteed</w:t>
            </w:r>
          </w:p>
        </w:tc>
        <w:tc>
          <w:tcPr>
            <w:tcW w:w="7370" w:type="dxa"/>
            <w:shd w:val="clear" w:color="auto" w:fill="auto"/>
          </w:tcPr>
          <w:p w:rsidR="002E712E" w:rsidRPr="00383EAA" w:rsidRDefault="00FF047F" w:rsidP="00FE1601">
            <w:pPr>
              <w:spacing w:before="120" w:after="120"/>
              <w:jc w:val="both"/>
              <w:rPr>
                <w:rFonts w:ascii="Times New Roman" w:hAnsi="Times New Roman"/>
                <w:sz w:val="24"/>
                <w:szCs w:val="24"/>
              </w:rPr>
            </w:pPr>
            <w:r w:rsidRPr="00DB6F02">
              <w:rPr>
                <w:rFonts w:ascii="Times New Roman" w:hAnsi="Times New Roman"/>
                <w:sz w:val="24"/>
                <w:szCs w:val="24"/>
              </w:rPr>
              <w:t xml:space="preserve">Represents the provision of benefits payable under an investment account contract, where an investment account contract is a contract within the meaning given in s. 14(2) of the </w:t>
            </w:r>
            <w:r w:rsidRPr="00DB6F02">
              <w:rPr>
                <w:rFonts w:ascii="Times New Roman" w:hAnsi="Times New Roman"/>
                <w:i/>
                <w:iCs/>
                <w:sz w:val="24"/>
                <w:szCs w:val="24"/>
              </w:rPr>
              <w:t>Life Insurance Act 1995</w:t>
            </w:r>
            <w:r w:rsidRPr="00DB6F02">
              <w:rPr>
                <w:rFonts w:ascii="Times New Roman" w:hAnsi="Times New Roman"/>
                <w:sz w:val="24"/>
                <w:szCs w:val="24"/>
              </w:rPr>
              <w:t>.</w:t>
            </w:r>
          </w:p>
        </w:tc>
      </w:tr>
      <w:tr w:rsidR="002E712E" w:rsidRPr="00970E44" w:rsidTr="003A0B11">
        <w:trPr>
          <w:trHeight w:val="801"/>
        </w:trPr>
        <w:tc>
          <w:tcPr>
            <w:tcW w:w="1791" w:type="dxa"/>
            <w:shd w:val="clear" w:color="auto" w:fill="auto"/>
          </w:tcPr>
          <w:p w:rsidR="002E712E" w:rsidRPr="00DD6368" w:rsidRDefault="002E712E" w:rsidP="00EA44DB">
            <w:pPr>
              <w:spacing w:before="120" w:after="120"/>
              <w:rPr>
                <w:rFonts w:ascii="Times New Roman" w:hAnsi="Times New Roman"/>
                <w:b/>
                <w:i/>
                <w:sz w:val="24"/>
                <w:szCs w:val="24"/>
              </w:rPr>
            </w:pPr>
            <w:r w:rsidRPr="00DD6368">
              <w:rPr>
                <w:rFonts w:ascii="Times New Roman" w:hAnsi="Times New Roman"/>
                <w:b/>
                <w:i/>
                <w:sz w:val="24"/>
                <w:szCs w:val="24"/>
              </w:rPr>
              <w:t>Life company investment linked</w:t>
            </w:r>
          </w:p>
        </w:tc>
        <w:tc>
          <w:tcPr>
            <w:tcW w:w="7370" w:type="dxa"/>
            <w:shd w:val="clear" w:color="auto" w:fill="auto"/>
          </w:tcPr>
          <w:p w:rsidR="002E712E" w:rsidRPr="00580807" w:rsidRDefault="00FF047F" w:rsidP="00FE1601">
            <w:pPr>
              <w:spacing w:before="120" w:after="120"/>
              <w:jc w:val="both"/>
              <w:rPr>
                <w:rFonts w:ascii="Times New Roman" w:hAnsi="Times New Roman"/>
                <w:color w:val="000000" w:themeColor="text1"/>
                <w:sz w:val="24"/>
                <w:szCs w:val="24"/>
              </w:rPr>
            </w:pPr>
            <w:r w:rsidRPr="00580807">
              <w:rPr>
                <w:rFonts w:ascii="Times New Roman" w:hAnsi="Times New Roman"/>
                <w:color w:val="000000" w:themeColor="text1"/>
                <w:sz w:val="24"/>
                <w:szCs w:val="24"/>
              </w:rPr>
              <w:t xml:space="preserve">Represents the provision of benefits payable under an investment-linked contract, where an investment-linked contract is a contract within the meaning given in s. 14(4) of the </w:t>
            </w:r>
            <w:r w:rsidRPr="00580807">
              <w:rPr>
                <w:rFonts w:ascii="Times New Roman" w:hAnsi="Times New Roman"/>
                <w:i/>
                <w:iCs/>
                <w:color w:val="000000" w:themeColor="text1"/>
                <w:sz w:val="24"/>
                <w:szCs w:val="24"/>
              </w:rPr>
              <w:t>Life Insurance Act 1995</w:t>
            </w:r>
            <w:r w:rsidRPr="00580807">
              <w:rPr>
                <w:rFonts w:ascii="Times New Roman" w:hAnsi="Times New Roman"/>
                <w:color w:val="000000" w:themeColor="text1"/>
                <w:sz w:val="24"/>
                <w:szCs w:val="24"/>
              </w:rPr>
              <w:t>.</w:t>
            </w:r>
          </w:p>
        </w:tc>
      </w:tr>
      <w:tr w:rsidR="00E22FF6" w:rsidRPr="00970E44" w:rsidTr="003A0B11">
        <w:trPr>
          <w:trHeight w:val="801"/>
        </w:trPr>
        <w:tc>
          <w:tcPr>
            <w:tcW w:w="1791" w:type="dxa"/>
            <w:shd w:val="clear" w:color="auto" w:fill="auto"/>
          </w:tcPr>
          <w:p w:rsidR="00E22FF6" w:rsidRPr="00DD6368" w:rsidRDefault="00E22FF6" w:rsidP="00FE1601">
            <w:pPr>
              <w:spacing w:before="120" w:after="120"/>
              <w:rPr>
                <w:rFonts w:ascii="Times New Roman" w:hAnsi="Times New Roman"/>
                <w:b/>
                <w:i/>
                <w:sz w:val="24"/>
                <w:szCs w:val="24"/>
              </w:rPr>
            </w:pPr>
            <w:r>
              <w:rPr>
                <w:rFonts w:ascii="Times New Roman" w:hAnsi="Times New Roman"/>
                <w:b/>
                <w:i/>
                <w:sz w:val="24"/>
                <w:szCs w:val="24"/>
              </w:rPr>
              <w:t>Life  company other</w:t>
            </w:r>
          </w:p>
        </w:tc>
        <w:tc>
          <w:tcPr>
            <w:tcW w:w="7370" w:type="dxa"/>
            <w:shd w:val="clear" w:color="auto" w:fill="auto"/>
          </w:tcPr>
          <w:p w:rsidR="00E22FF6" w:rsidRPr="00580807" w:rsidDel="00FF047F" w:rsidRDefault="00E22FF6" w:rsidP="00383EAA">
            <w:pPr>
              <w:spacing w:before="120" w:after="120"/>
              <w:jc w:val="both"/>
              <w:rPr>
                <w:rFonts w:ascii="Times New Roman" w:hAnsi="Times New Roman"/>
                <w:color w:val="000000" w:themeColor="text1"/>
                <w:sz w:val="24"/>
                <w:szCs w:val="24"/>
              </w:rPr>
            </w:pPr>
            <w:r w:rsidRPr="00580807">
              <w:rPr>
                <w:rFonts w:ascii="Times New Roman" w:hAnsi="Times New Roman"/>
                <w:color w:val="000000" w:themeColor="text1"/>
                <w:sz w:val="24"/>
                <w:szCs w:val="24"/>
              </w:rPr>
              <w:t>Represents any investment in a life company that does not otherwise fall into the definition of ‘life company guaranteed’ or ‘life company investment linked’.</w:t>
            </w:r>
          </w:p>
        </w:tc>
      </w:tr>
      <w:tr w:rsidR="002E712E" w:rsidRPr="00970E44" w:rsidTr="003A0B11">
        <w:trPr>
          <w:trHeight w:val="70"/>
        </w:trPr>
        <w:tc>
          <w:tcPr>
            <w:tcW w:w="1791" w:type="dxa"/>
            <w:shd w:val="clear" w:color="auto" w:fill="auto"/>
          </w:tcPr>
          <w:p w:rsidR="002E712E" w:rsidRPr="00970E44" w:rsidRDefault="002E712E" w:rsidP="00EA44DB">
            <w:pPr>
              <w:spacing w:before="120" w:after="120"/>
              <w:rPr>
                <w:rFonts w:ascii="Times New Roman" w:hAnsi="Times New Roman"/>
                <w:b/>
                <w:i/>
                <w:sz w:val="24"/>
                <w:szCs w:val="24"/>
              </w:rPr>
            </w:pPr>
            <w:r w:rsidRPr="00970E44">
              <w:rPr>
                <w:rFonts w:ascii="Times New Roman" w:hAnsi="Times New Roman"/>
                <w:b/>
                <w:i/>
                <w:sz w:val="24"/>
                <w:szCs w:val="24"/>
              </w:rPr>
              <w:t xml:space="preserve">Listed </w:t>
            </w:r>
            <w:r>
              <w:rPr>
                <w:rFonts w:ascii="Times New Roman" w:hAnsi="Times New Roman"/>
                <w:b/>
                <w:i/>
                <w:sz w:val="24"/>
                <w:szCs w:val="24"/>
              </w:rPr>
              <w:t xml:space="preserve">retail </w:t>
            </w:r>
            <w:r w:rsidRPr="00970E44">
              <w:rPr>
                <w:rFonts w:ascii="Times New Roman" w:hAnsi="Times New Roman"/>
                <w:b/>
                <w:i/>
                <w:sz w:val="24"/>
                <w:szCs w:val="24"/>
              </w:rPr>
              <w:t>trust</w:t>
            </w:r>
          </w:p>
        </w:tc>
        <w:tc>
          <w:tcPr>
            <w:tcW w:w="7370" w:type="dxa"/>
            <w:shd w:val="clear" w:color="auto" w:fill="auto"/>
          </w:tcPr>
          <w:p w:rsidR="002E712E" w:rsidRPr="00970E44" w:rsidRDefault="002E712E" w:rsidP="00EA44DB">
            <w:pPr>
              <w:spacing w:before="120" w:after="120"/>
              <w:jc w:val="both"/>
              <w:rPr>
                <w:rFonts w:ascii="Times New Roman" w:hAnsi="Times New Roman"/>
                <w:sz w:val="24"/>
                <w:szCs w:val="24"/>
              </w:rPr>
            </w:pPr>
            <w:r w:rsidRPr="00970E44">
              <w:rPr>
                <w:rFonts w:ascii="Times New Roman" w:hAnsi="Times New Roman"/>
                <w:sz w:val="24"/>
                <w:szCs w:val="24"/>
              </w:rPr>
              <w:t xml:space="preserve">Represents a collective investment vehicle </w:t>
            </w:r>
            <w:r>
              <w:rPr>
                <w:rFonts w:ascii="Times New Roman" w:hAnsi="Times New Roman"/>
                <w:sz w:val="24"/>
                <w:szCs w:val="24"/>
              </w:rPr>
              <w:t xml:space="preserve">with units on issue </w:t>
            </w:r>
            <w:r w:rsidRPr="00F83BC9">
              <w:rPr>
                <w:rFonts w:ascii="Times New Roman" w:hAnsi="Times New Roman"/>
                <w:sz w:val="24"/>
                <w:szCs w:val="24"/>
              </w:rPr>
              <w:t>listed on an Australian or an international stock exchange</w:t>
            </w:r>
            <w:r>
              <w:rPr>
                <w:rFonts w:ascii="Times New Roman" w:hAnsi="Times New Roman"/>
                <w:sz w:val="24"/>
                <w:szCs w:val="24"/>
              </w:rPr>
              <w:t xml:space="preserve"> </w:t>
            </w:r>
            <w:r w:rsidRPr="00970E44">
              <w:rPr>
                <w:rFonts w:ascii="Times New Roman" w:hAnsi="Times New Roman"/>
                <w:sz w:val="24"/>
                <w:szCs w:val="24"/>
              </w:rPr>
              <w:t xml:space="preserve">which provides exposure to a diversified portfolio of investments </w:t>
            </w:r>
            <w:r w:rsidRPr="00F83BC9">
              <w:rPr>
                <w:rFonts w:ascii="Times New Roman" w:hAnsi="Times New Roman"/>
                <w:sz w:val="24"/>
                <w:szCs w:val="24"/>
              </w:rPr>
              <w:t xml:space="preserve">and can be accessed by retail </w:t>
            </w:r>
            <w:r>
              <w:rPr>
                <w:rFonts w:ascii="Times New Roman" w:hAnsi="Times New Roman"/>
                <w:sz w:val="24"/>
                <w:szCs w:val="24"/>
              </w:rPr>
              <w:t>clients</w:t>
            </w:r>
            <w:r w:rsidRPr="00F83BC9">
              <w:rPr>
                <w:rFonts w:ascii="Times New Roman" w:hAnsi="Times New Roman"/>
                <w:sz w:val="24"/>
                <w:szCs w:val="24"/>
              </w:rPr>
              <w:t xml:space="preserve">, at low entry levels, as defined in the </w:t>
            </w:r>
            <w:r w:rsidRPr="00F83BC9">
              <w:rPr>
                <w:rFonts w:ascii="Times New Roman" w:hAnsi="Times New Roman"/>
                <w:i/>
                <w:sz w:val="24"/>
                <w:szCs w:val="24"/>
              </w:rPr>
              <w:t>Corporations Act 2001</w:t>
            </w:r>
            <w:r w:rsidRPr="00970E44">
              <w:rPr>
                <w:rFonts w:ascii="Times New Roman" w:hAnsi="Times New Roman"/>
                <w:sz w:val="24"/>
                <w:szCs w:val="24"/>
              </w:rPr>
              <w:t xml:space="preserve">. </w:t>
            </w:r>
          </w:p>
        </w:tc>
      </w:tr>
      <w:tr w:rsidR="002E712E" w:rsidRPr="00970E44" w:rsidTr="003A0B11">
        <w:trPr>
          <w:trHeight w:val="801"/>
        </w:trPr>
        <w:tc>
          <w:tcPr>
            <w:tcW w:w="1791" w:type="dxa"/>
            <w:shd w:val="clear" w:color="auto" w:fill="auto"/>
          </w:tcPr>
          <w:p w:rsidR="002E712E" w:rsidRPr="00970E44" w:rsidRDefault="002E712E" w:rsidP="00EA44DB">
            <w:pPr>
              <w:spacing w:before="120" w:after="120"/>
              <w:rPr>
                <w:rFonts w:ascii="Times New Roman" w:hAnsi="Times New Roman"/>
                <w:b/>
                <w:i/>
                <w:sz w:val="24"/>
                <w:szCs w:val="24"/>
              </w:rPr>
            </w:pPr>
            <w:r w:rsidRPr="00E562F5">
              <w:rPr>
                <w:rFonts w:ascii="Times New Roman" w:hAnsi="Times New Roman"/>
                <w:b/>
                <w:i/>
                <w:sz w:val="24"/>
                <w:szCs w:val="24"/>
              </w:rPr>
              <w:t>Pooled superannuation trust</w:t>
            </w:r>
          </w:p>
        </w:tc>
        <w:tc>
          <w:tcPr>
            <w:tcW w:w="7370" w:type="dxa"/>
            <w:shd w:val="clear" w:color="auto" w:fill="auto"/>
          </w:tcPr>
          <w:p w:rsidR="002E712E" w:rsidRPr="00970E44" w:rsidRDefault="002E712E" w:rsidP="00EA44DB">
            <w:pPr>
              <w:spacing w:before="120" w:after="120"/>
              <w:jc w:val="both"/>
              <w:rPr>
                <w:rFonts w:ascii="Times New Roman" w:hAnsi="Times New Roman"/>
                <w:sz w:val="24"/>
                <w:szCs w:val="24"/>
              </w:rPr>
            </w:pPr>
            <w:r w:rsidRPr="00E562F5">
              <w:rPr>
                <w:rFonts w:ascii="Times New Roman" w:hAnsi="Times New Roman"/>
                <w:sz w:val="24"/>
                <w:szCs w:val="24"/>
              </w:rPr>
              <w:t>Represents a type of collective investment trust where an investment manager invests the assets of superannuation funds, approved deposit funds and other pooled superannuation trusts. Excludes: unitised investments with life companies where the original or primary investment is an insurance or investment policy.</w:t>
            </w:r>
          </w:p>
        </w:tc>
      </w:tr>
      <w:tr w:rsidR="002E712E" w:rsidRPr="00970E44" w:rsidTr="003A0B11">
        <w:trPr>
          <w:trHeight w:val="801"/>
        </w:trPr>
        <w:tc>
          <w:tcPr>
            <w:tcW w:w="1791" w:type="dxa"/>
            <w:shd w:val="clear" w:color="auto" w:fill="auto"/>
          </w:tcPr>
          <w:p w:rsidR="002E712E" w:rsidRPr="00970E44" w:rsidRDefault="002E712E" w:rsidP="00EA44DB">
            <w:pPr>
              <w:spacing w:before="120" w:after="120"/>
              <w:rPr>
                <w:rFonts w:ascii="Times New Roman" w:hAnsi="Times New Roman"/>
                <w:b/>
                <w:i/>
                <w:sz w:val="24"/>
                <w:szCs w:val="24"/>
              </w:rPr>
            </w:pPr>
            <w:r w:rsidRPr="00970E44">
              <w:rPr>
                <w:rFonts w:ascii="Times New Roman" w:hAnsi="Times New Roman"/>
                <w:b/>
                <w:i/>
                <w:sz w:val="24"/>
                <w:szCs w:val="24"/>
              </w:rPr>
              <w:t>Unlisted retail</w:t>
            </w:r>
            <w:r>
              <w:rPr>
                <w:rFonts w:ascii="Times New Roman" w:hAnsi="Times New Roman"/>
                <w:b/>
                <w:i/>
                <w:sz w:val="24"/>
                <w:szCs w:val="24"/>
              </w:rPr>
              <w:t xml:space="preserve"> </w:t>
            </w:r>
            <w:r w:rsidRPr="00970E44">
              <w:rPr>
                <w:rFonts w:ascii="Times New Roman" w:hAnsi="Times New Roman"/>
                <w:b/>
                <w:i/>
                <w:sz w:val="24"/>
                <w:szCs w:val="24"/>
              </w:rPr>
              <w:t>trust</w:t>
            </w:r>
          </w:p>
        </w:tc>
        <w:tc>
          <w:tcPr>
            <w:tcW w:w="7370" w:type="dxa"/>
            <w:shd w:val="clear" w:color="auto" w:fill="auto"/>
          </w:tcPr>
          <w:p w:rsidR="002E712E" w:rsidRPr="00970E44" w:rsidRDefault="002E712E" w:rsidP="00EA44DB">
            <w:pPr>
              <w:spacing w:before="120" w:after="120"/>
              <w:jc w:val="both"/>
              <w:rPr>
                <w:rFonts w:ascii="Times New Roman" w:hAnsi="Times New Roman"/>
                <w:sz w:val="24"/>
                <w:szCs w:val="24"/>
              </w:rPr>
            </w:pPr>
            <w:r w:rsidRPr="00970E44">
              <w:rPr>
                <w:rFonts w:ascii="Times New Roman" w:hAnsi="Times New Roman"/>
                <w:sz w:val="24"/>
                <w:szCs w:val="24"/>
              </w:rPr>
              <w:t xml:space="preserve">Represents a collective investment </w:t>
            </w:r>
            <w:r>
              <w:rPr>
                <w:rFonts w:ascii="Times New Roman" w:hAnsi="Times New Roman"/>
                <w:sz w:val="24"/>
                <w:szCs w:val="24"/>
              </w:rPr>
              <w:t>vehicle</w:t>
            </w:r>
            <w:r w:rsidRPr="00970E44">
              <w:rPr>
                <w:rFonts w:ascii="Times New Roman" w:hAnsi="Times New Roman"/>
                <w:sz w:val="24"/>
                <w:szCs w:val="24"/>
              </w:rPr>
              <w:t xml:space="preserve"> that is not listed on a</w:t>
            </w:r>
            <w:r>
              <w:rPr>
                <w:rFonts w:ascii="Times New Roman" w:hAnsi="Times New Roman"/>
                <w:sz w:val="24"/>
                <w:szCs w:val="24"/>
              </w:rPr>
              <w:t>n Australian or international</w:t>
            </w:r>
            <w:r w:rsidRPr="00970E44">
              <w:rPr>
                <w:rFonts w:ascii="Times New Roman" w:hAnsi="Times New Roman"/>
                <w:sz w:val="24"/>
                <w:szCs w:val="24"/>
              </w:rPr>
              <w:t xml:space="preserve"> stock exchange</w:t>
            </w:r>
            <w:r>
              <w:rPr>
                <w:rFonts w:ascii="Times New Roman" w:hAnsi="Times New Roman"/>
                <w:sz w:val="24"/>
                <w:szCs w:val="24"/>
              </w:rPr>
              <w:t xml:space="preserve">, </w:t>
            </w:r>
            <w:r w:rsidRPr="00F83BC9">
              <w:rPr>
                <w:rFonts w:ascii="Times New Roman" w:hAnsi="Times New Roman"/>
                <w:sz w:val="24"/>
                <w:szCs w:val="24"/>
              </w:rPr>
              <w:t>provides exposure to a diversified portfolio of investments</w:t>
            </w:r>
            <w:r w:rsidRPr="00970E44">
              <w:rPr>
                <w:rFonts w:ascii="Times New Roman" w:hAnsi="Times New Roman"/>
                <w:sz w:val="24"/>
                <w:szCs w:val="24"/>
              </w:rPr>
              <w:t xml:space="preserve"> and can be accessed by retail </w:t>
            </w:r>
            <w:r>
              <w:rPr>
                <w:rFonts w:ascii="Times New Roman" w:hAnsi="Times New Roman"/>
                <w:sz w:val="24"/>
                <w:szCs w:val="24"/>
              </w:rPr>
              <w:t>clients</w:t>
            </w:r>
            <w:r w:rsidRPr="00970E44">
              <w:rPr>
                <w:rFonts w:ascii="Times New Roman" w:hAnsi="Times New Roman"/>
                <w:sz w:val="24"/>
                <w:szCs w:val="24"/>
              </w:rPr>
              <w:t xml:space="preserve">, at low entry levels, as defined in the </w:t>
            </w:r>
            <w:r w:rsidRPr="00970E44">
              <w:rPr>
                <w:rFonts w:ascii="Times New Roman" w:hAnsi="Times New Roman"/>
                <w:i/>
                <w:sz w:val="24"/>
                <w:szCs w:val="24"/>
              </w:rPr>
              <w:t>Corporations Act 2001</w:t>
            </w:r>
            <w:r w:rsidRPr="00970E44">
              <w:rPr>
                <w:rFonts w:ascii="Times New Roman" w:hAnsi="Times New Roman"/>
                <w:sz w:val="24"/>
                <w:szCs w:val="24"/>
              </w:rPr>
              <w:t>.</w:t>
            </w:r>
          </w:p>
        </w:tc>
      </w:tr>
      <w:tr w:rsidR="002E712E" w:rsidRPr="00970E44" w:rsidTr="003A0B11">
        <w:trPr>
          <w:trHeight w:val="70"/>
        </w:trPr>
        <w:tc>
          <w:tcPr>
            <w:tcW w:w="1791" w:type="dxa"/>
            <w:shd w:val="clear" w:color="auto" w:fill="auto"/>
          </w:tcPr>
          <w:p w:rsidR="002E712E" w:rsidRPr="00970E44" w:rsidRDefault="002E712E" w:rsidP="00EA44DB">
            <w:pPr>
              <w:spacing w:before="120" w:after="120"/>
              <w:rPr>
                <w:rFonts w:ascii="Times New Roman" w:hAnsi="Times New Roman"/>
                <w:b/>
                <w:i/>
                <w:sz w:val="24"/>
                <w:szCs w:val="24"/>
              </w:rPr>
            </w:pPr>
            <w:r>
              <w:rPr>
                <w:rFonts w:ascii="Times New Roman" w:hAnsi="Times New Roman"/>
                <w:b/>
                <w:i/>
                <w:sz w:val="24"/>
                <w:szCs w:val="24"/>
              </w:rPr>
              <w:t>W</w:t>
            </w:r>
            <w:r w:rsidRPr="00970E44">
              <w:rPr>
                <w:rFonts w:ascii="Times New Roman" w:hAnsi="Times New Roman"/>
                <w:b/>
                <w:i/>
                <w:sz w:val="24"/>
                <w:szCs w:val="24"/>
              </w:rPr>
              <w:t>holesale trust</w:t>
            </w:r>
          </w:p>
        </w:tc>
        <w:tc>
          <w:tcPr>
            <w:tcW w:w="7370" w:type="dxa"/>
            <w:shd w:val="clear" w:color="auto" w:fill="auto"/>
          </w:tcPr>
          <w:p w:rsidR="002E712E" w:rsidRPr="00970E44" w:rsidRDefault="002E712E" w:rsidP="00EA44DB">
            <w:pPr>
              <w:spacing w:before="120" w:after="120"/>
              <w:jc w:val="both"/>
              <w:rPr>
                <w:rFonts w:ascii="Times New Roman" w:hAnsi="Times New Roman"/>
                <w:sz w:val="24"/>
                <w:szCs w:val="24"/>
              </w:rPr>
            </w:pPr>
            <w:r w:rsidRPr="00970E44">
              <w:rPr>
                <w:rFonts w:ascii="Times New Roman" w:hAnsi="Times New Roman"/>
                <w:sz w:val="24"/>
                <w:szCs w:val="24"/>
              </w:rPr>
              <w:t xml:space="preserve">Represents a collective investment </w:t>
            </w:r>
            <w:r>
              <w:rPr>
                <w:rFonts w:ascii="Times New Roman" w:hAnsi="Times New Roman"/>
                <w:sz w:val="24"/>
                <w:szCs w:val="24"/>
              </w:rPr>
              <w:t xml:space="preserve">vehicle </w:t>
            </w:r>
            <w:r w:rsidRPr="00970E44">
              <w:rPr>
                <w:rFonts w:ascii="Times New Roman" w:hAnsi="Times New Roman"/>
                <w:sz w:val="24"/>
                <w:szCs w:val="24"/>
              </w:rPr>
              <w:t xml:space="preserve">that </w:t>
            </w:r>
            <w:r w:rsidRPr="00F83BC9">
              <w:rPr>
                <w:rFonts w:ascii="Times New Roman" w:hAnsi="Times New Roman"/>
                <w:sz w:val="24"/>
                <w:szCs w:val="24"/>
              </w:rPr>
              <w:t xml:space="preserve">provides exposure to a diversified portfolio of investments </w:t>
            </w:r>
            <w:r>
              <w:rPr>
                <w:rFonts w:ascii="Times New Roman" w:hAnsi="Times New Roman"/>
                <w:sz w:val="24"/>
                <w:szCs w:val="24"/>
              </w:rPr>
              <w:t xml:space="preserve">and </w:t>
            </w:r>
            <w:r w:rsidRPr="00970E44">
              <w:rPr>
                <w:rFonts w:ascii="Times New Roman" w:hAnsi="Times New Roman"/>
                <w:sz w:val="24"/>
                <w:szCs w:val="24"/>
              </w:rPr>
              <w:t xml:space="preserve">can be accessed by wholesale clients only, at high entry levels, as defined in the </w:t>
            </w:r>
            <w:r w:rsidRPr="00970E44">
              <w:rPr>
                <w:rFonts w:ascii="Times New Roman" w:hAnsi="Times New Roman"/>
                <w:i/>
                <w:sz w:val="24"/>
                <w:szCs w:val="24"/>
              </w:rPr>
              <w:t>Corporations Act 2001</w:t>
            </w:r>
            <w:r w:rsidRPr="00970E44">
              <w:rPr>
                <w:rFonts w:ascii="Times New Roman" w:hAnsi="Times New Roman"/>
                <w:sz w:val="24"/>
                <w:szCs w:val="24"/>
              </w:rPr>
              <w:t>.</w:t>
            </w:r>
          </w:p>
        </w:tc>
      </w:tr>
    </w:tbl>
    <w:p w:rsidR="00A54FBB" w:rsidRDefault="00A54FBB" w:rsidP="00580807">
      <w:pPr>
        <w:widowControl w:val="0"/>
        <w:spacing w:before="240" w:after="240"/>
        <w:jc w:val="both"/>
        <w:rPr>
          <w:rFonts w:ascii="Arial" w:hAnsi="Arial" w:cs="Arial"/>
          <w:b/>
          <w:color w:val="000000"/>
          <w:sz w:val="32"/>
          <w:szCs w:val="32"/>
        </w:rPr>
      </w:pPr>
    </w:p>
    <w:p w:rsidR="00A54FBB" w:rsidRDefault="00A54FBB" w:rsidP="00580807">
      <w:pPr>
        <w:widowControl w:val="0"/>
        <w:spacing w:before="240" w:after="240"/>
        <w:jc w:val="both"/>
        <w:rPr>
          <w:rFonts w:ascii="Arial" w:hAnsi="Arial" w:cs="Arial"/>
          <w:b/>
          <w:color w:val="000000"/>
          <w:sz w:val="32"/>
          <w:szCs w:val="32"/>
        </w:rPr>
      </w:pPr>
    </w:p>
    <w:p w:rsidR="00A54FBB" w:rsidRDefault="00A54FBB" w:rsidP="00580807">
      <w:pPr>
        <w:widowControl w:val="0"/>
        <w:spacing w:before="240" w:after="240"/>
        <w:jc w:val="both"/>
        <w:rPr>
          <w:rFonts w:ascii="Arial" w:hAnsi="Arial" w:cs="Arial"/>
          <w:b/>
          <w:color w:val="000000"/>
          <w:sz w:val="32"/>
          <w:szCs w:val="32"/>
        </w:rPr>
      </w:pPr>
    </w:p>
    <w:p w:rsidR="00A54FBB" w:rsidRDefault="00A54FBB" w:rsidP="00580807">
      <w:pPr>
        <w:widowControl w:val="0"/>
        <w:spacing w:before="240" w:after="240"/>
        <w:jc w:val="both"/>
        <w:rPr>
          <w:rFonts w:ascii="Arial" w:hAnsi="Arial" w:cs="Arial"/>
          <w:b/>
          <w:color w:val="000000"/>
          <w:sz w:val="32"/>
          <w:szCs w:val="32"/>
        </w:rPr>
      </w:pPr>
    </w:p>
    <w:p w:rsidR="00A54FBB" w:rsidRDefault="00A54FBB" w:rsidP="00580807">
      <w:pPr>
        <w:widowControl w:val="0"/>
        <w:spacing w:before="240" w:after="240"/>
        <w:jc w:val="both"/>
        <w:rPr>
          <w:rFonts w:ascii="Arial" w:hAnsi="Arial" w:cs="Arial"/>
          <w:b/>
          <w:color w:val="000000"/>
          <w:sz w:val="32"/>
          <w:szCs w:val="32"/>
        </w:rPr>
      </w:pPr>
    </w:p>
    <w:p w:rsidR="00580807" w:rsidRDefault="00325ED8" w:rsidP="00580807">
      <w:pPr>
        <w:widowControl w:val="0"/>
        <w:spacing w:before="240" w:after="240"/>
        <w:jc w:val="both"/>
        <w:rPr>
          <w:rFonts w:ascii="Arial" w:hAnsi="Arial" w:cs="Arial"/>
          <w:b/>
          <w:color w:val="000000"/>
          <w:sz w:val="32"/>
          <w:szCs w:val="32"/>
        </w:rPr>
      </w:pPr>
      <w:r w:rsidRPr="00FF59B0">
        <w:rPr>
          <w:rFonts w:ascii="Arial" w:hAnsi="Arial" w:cs="Arial"/>
          <w:b/>
          <w:color w:val="000000"/>
          <w:sz w:val="32"/>
          <w:szCs w:val="32"/>
        </w:rPr>
        <w:lastRenderedPageBreak/>
        <w:t>Interpretation</w:t>
      </w:r>
    </w:p>
    <w:p w:rsidR="00325ED8" w:rsidRPr="00325ED8" w:rsidRDefault="00325ED8" w:rsidP="00580807">
      <w:pPr>
        <w:widowControl w:val="0"/>
        <w:spacing w:after="220"/>
        <w:jc w:val="both"/>
        <w:rPr>
          <w:rFonts w:ascii="Times New Roman" w:hAnsi="Times New Roman"/>
          <w:color w:val="000000"/>
          <w:sz w:val="24"/>
          <w:szCs w:val="24"/>
        </w:rPr>
      </w:pPr>
      <w:r w:rsidRPr="00325ED8">
        <w:rPr>
          <w:rFonts w:ascii="Times New Roman" w:hAnsi="Times New Roman"/>
          <w:color w:val="000000"/>
          <w:sz w:val="24"/>
          <w:szCs w:val="24"/>
        </w:rPr>
        <w:t>For the purposes of these instructions:</w:t>
      </w:r>
    </w:p>
    <w:p w:rsidR="00325ED8" w:rsidRPr="00325ED8" w:rsidRDefault="00325ED8" w:rsidP="00580807">
      <w:pPr>
        <w:widowControl w:val="0"/>
        <w:numPr>
          <w:ilvl w:val="0"/>
          <w:numId w:val="11"/>
        </w:numPr>
        <w:spacing w:after="220"/>
        <w:jc w:val="both"/>
        <w:rPr>
          <w:rFonts w:ascii="Times New Roman" w:eastAsia="Times New Roman" w:hAnsi="Times New Roman"/>
          <w:iCs/>
          <w:sz w:val="24"/>
          <w:szCs w:val="24"/>
          <w:lang w:val="x-none"/>
        </w:rPr>
      </w:pPr>
      <w:r w:rsidRPr="00325ED8">
        <w:rPr>
          <w:rFonts w:ascii="Times New Roman" w:eastAsia="Times New Roman" w:hAnsi="Times New Roman"/>
          <w:b/>
          <w:i/>
          <w:iCs/>
          <w:sz w:val="24"/>
          <w:szCs w:val="24"/>
          <w:lang w:val="x-none"/>
        </w:rPr>
        <w:t>RSE</w:t>
      </w:r>
      <w:r w:rsidRPr="00325ED8">
        <w:rPr>
          <w:rFonts w:ascii="Times New Roman" w:eastAsia="Times New Roman" w:hAnsi="Times New Roman"/>
          <w:iCs/>
          <w:sz w:val="24"/>
          <w:szCs w:val="24"/>
          <w:lang w:val="x-none"/>
        </w:rPr>
        <w:t xml:space="preserve"> means a registrable superannuation entity as defined in section 10</w:t>
      </w:r>
      <w:r w:rsidRPr="00325ED8">
        <w:rPr>
          <w:rFonts w:ascii="Times New Roman" w:eastAsia="Times New Roman" w:hAnsi="Times New Roman"/>
          <w:iCs/>
          <w:sz w:val="24"/>
          <w:szCs w:val="24"/>
        </w:rPr>
        <w:t>(1)</w:t>
      </w:r>
      <w:r w:rsidRPr="00325ED8">
        <w:rPr>
          <w:rFonts w:ascii="Times New Roman" w:eastAsia="Times New Roman" w:hAnsi="Times New Roman"/>
          <w:iCs/>
          <w:sz w:val="24"/>
          <w:szCs w:val="24"/>
          <w:lang w:val="x-none"/>
        </w:rPr>
        <w:t xml:space="preserve"> of the SIS Act</w:t>
      </w:r>
      <w:r w:rsidRPr="00325ED8">
        <w:rPr>
          <w:rFonts w:ascii="Times New Roman" w:eastAsia="Times New Roman" w:hAnsi="Times New Roman"/>
          <w:iCs/>
          <w:sz w:val="24"/>
          <w:szCs w:val="24"/>
        </w:rPr>
        <w:t xml:space="preserve"> that is not a small APRA fund or single member approved deposit fund</w:t>
      </w:r>
      <w:r w:rsidRPr="00325ED8">
        <w:rPr>
          <w:rFonts w:ascii="Times New Roman" w:eastAsia="Times New Roman" w:hAnsi="Times New Roman"/>
          <w:iCs/>
          <w:sz w:val="24"/>
          <w:szCs w:val="24"/>
          <w:vertAlign w:val="superscript"/>
        </w:rPr>
        <w:footnoteReference w:id="8"/>
      </w:r>
      <w:r w:rsidRPr="00325ED8">
        <w:rPr>
          <w:rFonts w:ascii="Times New Roman" w:eastAsia="Times New Roman" w:hAnsi="Times New Roman"/>
          <w:iCs/>
          <w:sz w:val="24"/>
          <w:szCs w:val="24"/>
          <w:lang w:val="x-none"/>
        </w:rPr>
        <w:t>;</w:t>
      </w:r>
    </w:p>
    <w:p w:rsidR="00325ED8" w:rsidRPr="00325ED8" w:rsidRDefault="00325ED8" w:rsidP="00580807">
      <w:pPr>
        <w:widowControl w:val="0"/>
        <w:numPr>
          <w:ilvl w:val="0"/>
          <w:numId w:val="11"/>
        </w:numPr>
        <w:spacing w:after="220"/>
        <w:jc w:val="both"/>
        <w:rPr>
          <w:rFonts w:ascii="Times New Roman" w:eastAsia="Times New Roman" w:hAnsi="Times New Roman"/>
          <w:iCs/>
          <w:sz w:val="24"/>
          <w:szCs w:val="24"/>
        </w:rPr>
      </w:pPr>
      <w:r w:rsidRPr="00325ED8">
        <w:rPr>
          <w:rFonts w:ascii="Times New Roman" w:eastAsia="Times New Roman" w:hAnsi="Times New Roman"/>
          <w:b/>
          <w:i/>
          <w:iCs/>
          <w:sz w:val="24"/>
          <w:szCs w:val="24"/>
          <w:lang w:val="x-none"/>
        </w:rPr>
        <w:t>RSE licensee</w:t>
      </w:r>
      <w:r w:rsidRPr="00325ED8">
        <w:rPr>
          <w:rFonts w:ascii="Times New Roman" w:eastAsia="Times New Roman" w:hAnsi="Times New Roman"/>
          <w:iCs/>
          <w:sz w:val="24"/>
          <w:szCs w:val="24"/>
          <w:lang w:val="x-none"/>
        </w:rPr>
        <w:t xml:space="preserve"> </w:t>
      </w:r>
      <w:r w:rsidRPr="00325ED8">
        <w:rPr>
          <w:rFonts w:ascii="Times New Roman" w:eastAsia="Times New Roman" w:hAnsi="Times New Roman"/>
          <w:iCs/>
          <w:sz w:val="24"/>
          <w:szCs w:val="24"/>
        </w:rPr>
        <w:t>has the meaning given in section 10(1) of the SIS Act;</w:t>
      </w:r>
      <w:r w:rsidR="00383EAA">
        <w:rPr>
          <w:rFonts w:ascii="Times New Roman" w:eastAsia="Times New Roman" w:hAnsi="Times New Roman"/>
          <w:iCs/>
          <w:sz w:val="24"/>
          <w:szCs w:val="24"/>
        </w:rPr>
        <w:t xml:space="preserve"> and</w:t>
      </w:r>
    </w:p>
    <w:p w:rsidR="00F242BE" w:rsidRPr="00502F8D" w:rsidRDefault="00F242BE" w:rsidP="008A2515">
      <w:pPr>
        <w:widowControl w:val="0"/>
        <w:numPr>
          <w:ilvl w:val="0"/>
          <w:numId w:val="11"/>
        </w:numPr>
        <w:spacing w:after="220"/>
        <w:jc w:val="both"/>
        <w:rPr>
          <w:rFonts w:ascii="Times New Roman" w:eastAsia="Times New Roman" w:hAnsi="Times New Roman"/>
          <w:color w:val="000000"/>
          <w:sz w:val="24"/>
          <w:szCs w:val="24"/>
        </w:rPr>
      </w:pPr>
      <w:r w:rsidRPr="00502F8D">
        <w:rPr>
          <w:rFonts w:ascii="Times New Roman" w:eastAsia="Times New Roman" w:hAnsi="Times New Roman"/>
          <w:b/>
          <w:i/>
          <w:color w:val="000000"/>
          <w:sz w:val="24"/>
          <w:szCs w:val="24"/>
        </w:rPr>
        <w:t>select investment option</w:t>
      </w:r>
      <w:r w:rsidRPr="00502F8D">
        <w:rPr>
          <w:rFonts w:ascii="Times New Roman" w:eastAsia="Times New Roman" w:hAnsi="Times New Roman"/>
          <w:color w:val="000000"/>
          <w:sz w:val="24"/>
          <w:szCs w:val="24"/>
        </w:rPr>
        <w:t xml:space="preserve"> means an investment option in an RSE which</w:t>
      </w:r>
      <w:r w:rsidRPr="00502F8D">
        <w:rPr>
          <w:rFonts w:ascii="Times New Roman" w:eastAsia="Times New Roman" w:hAnsi="Times New Roman"/>
          <w:color w:val="000000"/>
          <w:sz w:val="24"/>
          <w:szCs w:val="24"/>
          <w:vertAlign w:val="superscript"/>
        </w:rPr>
        <w:footnoteReference w:id="9"/>
      </w:r>
      <w:r w:rsidRPr="00502F8D">
        <w:rPr>
          <w:rFonts w:ascii="Times New Roman" w:eastAsia="Times New Roman" w:hAnsi="Times New Roman"/>
          <w:color w:val="000000"/>
          <w:sz w:val="24"/>
          <w:szCs w:val="24"/>
        </w:rPr>
        <w:t>:</w:t>
      </w:r>
    </w:p>
    <w:p w:rsidR="00F242BE" w:rsidRPr="00502F8D" w:rsidRDefault="00F242BE" w:rsidP="00B025C2">
      <w:pPr>
        <w:numPr>
          <w:ilvl w:val="0"/>
          <w:numId w:val="22"/>
        </w:numPr>
        <w:spacing w:before="240" w:after="240"/>
        <w:jc w:val="both"/>
        <w:rPr>
          <w:rFonts w:ascii="Times New Roman" w:eastAsia="Times New Roman" w:hAnsi="Times New Roman"/>
          <w:color w:val="000000"/>
          <w:sz w:val="24"/>
          <w:szCs w:val="24"/>
        </w:rPr>
      </w:pPr>
      <w:r w:rsidRPr="00502F8D">
        <w:rPr>
          <w:rFonts w:ascii="Times New Roman" w:eastAsia="Times New Roman" w:hAnsi="Times New Roman"/>
          <w:color w:val="000000"/>
          <w:sz w:val="24"/>
          <w:szCs w:val="24"/>
        </w:rPr>
        <w:t>underlies</w:t>
      </w:r>
      <w:r>
        <w:rPr>
          <w:rFonts w:ascii="Times New Roman" w:eastAsia="Times New Roman" w:hAnsi="Times New Roman"/>
          <w:color w:val="000000"/>
          <w:sz w:val="24"/>
          <w:szCs w:val="24"/>
        </w:rPr>
        <w:t>:</w:t>
      </w:r>
    </w:p>
    <w:p w:rsidR="00F242BE" w:rsidRPr="00301C0F" w:rsidRDefault="00F242BE" w:rsidP="00B025C2">
      <w:pPr>
        <w:numPr>
          <w:ilvl w:val="1"/>
          <w:numId w:val="22"/>
        </w:numPr>
        <w:spacing w:before="240" w:after="240"/>
        <w:jc w:val="both"/>
        <w:rPr>
          <w:rFonts w:ascii="Times New Roman" w:hAnsi="Times New Roman"/>
          <w:color w:val="000000"/>
          <w:sz w:val="24"/>
          <w:szCs w:val="24"/>
        </w:rPr>
      </w:pPr>
      <w:r w:rsidRPr="00301C0F">
        <w:rPr>
          <w:rFonts w:ascii="Times New Roman" w:hAnsi="Times New Roman"/>
          <w:color w:val="000000"/>
          <w:sz w:val="24"/>
          <w:szCs w:val="24"/>
        </w:rPr>
        <w:t>a defined benefit pension within the meaning of SPS 160, where that defined benefit pension is currently being paid; or</w:t>
      </w:r>
    </w:p>
    <w:p w:rsidR="00F242BE" w:rsidRPr="00301C0F" w:rsidRDefault="00F242BE" w:rsidP="00B025C2">
      <w:pPr>
        <w:numPr>
          <w:ilvl w:val="1"/>
          <w:numId w:val="22"/>
        </w:numPr>
        <w:spacing w:before="240" w:after="240"/>
        <w:jc w:val="both"/>
        <w:rPr>
          <w:rFonts w:ascii="Times New Roman" w:hAnsi="Times New Roman"/>
          <w:color w:val="000000"/>
          <w:sz w:val="24"/>
          <w:szCs w:val="24"/>
        </w:rPr>
      </w:pPr>
      <w:r w:rsidRPr="00301C0F">
        <w:rPr>
          <w:rFonts w:ascii="Times New Roman" w:hAnsi="Times New Roman"/>
          <w:color w:val="000000"/>
          <w:sz w:val="24"/>
          <w:szCs w:val="24"/>
        </w:rPr>
        <w:t>an interest that entitles the member who holds the interest, when benefits in respect of the interest become payable, to be paid a benefit referred to in the definition of ‘defined benefit member’ in paragraph 7(b) of SPS 160; or</w:t>
      </w:r>
    </w:p>
    <w:p w:rsidR="00F242BE" w:rsidRPr="00502F8D" w:rsidRDefault="00F242BE" w:rsidP="00B025C2">
      <w:pPr>
        <w:numPr>
          <w:ilvl w:val="0"/>
          <w:numId w:val="22"/>
        </w:numPr>
        <w:spacing w:before="240" w:after="240"/>
        <w:jc w:val="both"/>
        <w:rPr>
          <w:rFonts w:ascii="Times New Roman" w:eastAsia="Times New Roman" w:hAnsi="Times New Roman"/>
          <w:color w:val="000000"/>
          <w:sz w:val="24"/>
          <w:szCs w:val="24"/>
        </w:rPr>
      </w:pPr>
      <w:r w:rsidRPr="00301C0F">
        <w:rPr>
          <w:rFonts w:ascii="Times New Roman" w:hAnsi="Times New Roman"/>
          <w:color w:val="000000"/>
          <w:sz w:val="24"/>
          <w:szCs w:val="24"/>
        </w:rPr>
        <w:t>underlies a pre-MySuper default investment option that includes at least one accrued default amount (within the meaning given in section 20B of the SIS Act); or</w:t>
      </w:r>
    </w:p>
    <w:p w:rsidR="00F242BE" w:rsidRPr="004560C6" w:rsidRDefault="00F242BE" w:rsidP="00B025C2">
      <w:pPr>
        <w:numPr>
          <w:ilvl w:val="0"/>
          <w:numId w:val="22"/>
        </w:numPr>
        <w:spacing w:before="240" w:after="240"/>
        <w:jc w:val="both"/>
        <w:rPr>
          <w:rFonts w:ascii="Times New Roman" w:eastAsia="Times New Roman" w:hAnsi="Times New Roman"/>
          <w:color w:val="000000"/>
          <w:sz w:val="24"/>
          <w:szCs w:val="24"/>
        </w:rPr>
      </w:pPr>
      <w:r w:rsidRPr="004560C6">
        <w:rPr>
          <w:rFonts w:ascii="Times New Roman" w:eastAsia="Times New Roman" w:hAnsi="Times New Roman"/>
          <w:color w:val="000000"/>
          <w:sz w:val="24"/>
          <w:szCs w:val="24"/>
        </w:rPr>
        <w:t>at the most recent 30 June, ha</w:t>
      </w:r>
      <w:r>
        <w:rPr>
          <w:rFonts w:ascii="Times New Roman" w:eastAsia="Times New Roman" w:hAnsi="Times New Roman"/>
          <w:color w:val="000000"/>
          <w:sz w:val="24"/>
          <w:szCs w:val="24"/>
        </w:rPr>
        <w:t>s</w:t>
      </w:r>
      <w:r w:rsidRPr="004560C6">
        <w:rPr>
          <w:rFonts w:ascii="Times New Roman" w:eastAsia="Times New Roman" w:hAnsi="Times New Roman"/>
          <w:color w:val="000000"/>
          <w:sz w:val="24"/>
          <w:szCs w:val="24"/>
        </w:rPr>
        <w:t xml:space="preserve"> assets </w:t>
      </w:r>
      <w:r>
        <w:rPr>
          <w:rFonts w:ascii="Times New Roman" w:eastAsia="Times New Roman" w:hAnsi="Times New Roman"/>
          <w:color w:val="000000"/>
          <w:sz w:val="24"/>
          <w:szCs w:val="24"/>
        </w:rPr>
        <w:t xml:space="preserve">relating to non-MySuper interests </w:t>
      </w:r>
      <w:r w:rsidRPr="004560C6">
        <w:rPr>
          <w:rFonts w:ascii="Times New Roman" w:eastAsia="Times New Roman" w:hAnsi="Times New Roman"/>
          <w:color w:val="000000"/>
          <w:sz w:val="24"/>
          <w:szCs w:val="24"/>
        </w:rPr>
        <w:t xml:space="preserve">greater than $50 million; or </w:t>
      </w:r>
    </w:p>
    <w:p w:rsidR="00F242BE" w:rsidRDefault="00F242BE" w:rsidP="00B025C2">
      <w:pPr>
        <w:numPr>
          <w:ilvl w:val="0"/>
          <w:numId w:val="22"/>
        </w:numPr>
        <w:spacing w:before="240" w:after="240"/>
        <w:jc w:val="both"/>
        <w:rPr>
          <w:rFonts w:ascii="Times New Roman" w:eastAsia="Times New Roman" w:hAnsi="Times New Roman"/>
          <w:color w:val="000000"/>
          <w:sz w:val="24"/>
          <w:szCs w:val="24"/>
        </w:rPr>
      </w:pPr>
      <w:r w:rsidRPr="004560C6">
        <w:rPr>
          <w:rFonts w:ascii="Times New Roman" w:eastAsia="Times New Roman" w:hAnsi="Times New Roman"/>
          <w:color w:val="000000"/>
          <w:sz w:val="24"/>
          <w:szCs w:val="24"/>
        </w:rPr>
        <w:t xml:space="preserve">at the most recent 30 June, has assets </w:t>
      </w:r>
      <w:r>
        <w:rPr>
          <w:rFonts w:ascii="Times New Roman" w:eastAsia="Times New Roman" w:hAnsi="Times New Roman"/>
          <w:color w:val="000000"/>
          <w:sz w:val="24"/>
          <w:szCs w:val="24"/>
        </w:rPr>
        <w:t xml:space="preserve">relating to non-MySuper interests </w:t>
      </w:r>
      <w:r w:rsidRPr="004560C6">
        <w:rPr>
          <w:rFonts w:ascii="Times New Roman" w:eastAsia="Times New Roman" w:hAnsi="Times New Roman"/>
          <w:color w:val="000000"/>
          <w:sz w:val="24"/>
          <w:szCs w:val="24"/>
        </w:rPr>
        <w:t>that are less than $50 million but which represent more than 5 per cent of total assets of the RSE within which the investment option is located;</w:t>
      </w:r>
    </w:p>
    <w:p w:rsidR="00F242BE" w:rsidRPr="008A2515" w:rsidRDefault="00F242BE" w:rsidP="00F242BE">
      <w:pPr>
        <w:widowControl w:val="0"/>
        <w:numPr>
          <w:ilvl w:val="0"/>
          <w:numId w:val="11"/>
        </w:numPr>
        <w:spacing w:after="220"/>
        <w:jc w:val="both"/>
        <w:rPr>
          <w:rFonts w:ascii="Times New Roman" w:hAnsi="Times New Roman"/>
          <w:color w:val="000000"/>
          <w:sz w:val="24"/>
          <w:szCs w:val="24"/>
        </w:rPr>
      </w:pPr>
      <w:r w:rsidRPr="001873A1">
        <w:rPr>
          <w:rFonts w:ascii="Times New Roman" w:eastAsia="Times New Roman" w:hAnsi="Times New Roman"/>
          <w:b/>
          <w:i/>
          <w:color w:val="000000"/>
          <w:sz w:val="24"/>
          <w:szCs w:val="24"/>
        </w:rPr>
        <w:t>SIS Act</w:t>
      </w:r>
      <w:r w:rsidRPr="001873A1">
        <w:rPr>
          <w:rFonts w:ascii="Times New Roman" w:eastAsia="Times New Roman" w:hAnsi="Times New Roman"/>
          <w:color w:val="000000"/>
          <w:sz w:val="24"/>
          <w:szCs w:val="24"/>
        </w:rPr>
        <w:t xml:space="preserve"> means </w:t>
      </w:r>
      <w:r w:rsidRPr="001873A1">
        <w:rPr>
          <w:rFonts w:ascii="Times New Roman" w:eastAsia="Times New Roman" w:hAnsi="Times New Roman"/>
          <w:i/>
          <w:color w:val="000000"/>
          <w:sz w:val="24"/>
          <w:szCs w:val="24"/>
        </w:rPr>
        <w:t>Superannuation Industry (Supervision) Act 1993</w:t>
      </w:r>
      <w:r w:rsidRPr="001873A1">
        <w:rPr>
          <w:rFonts w:ascii="Times New Roman" w:eastAsia="Times New Roman" w:hAnsi="Times New Roman"/>
          <w:color w:val="000000"/>
          <w:sz w:val="24"/>
          <w:szCs w:val="24"/>
        </w:rPr>
        <w:t>.</w:t>
      </w:r>
    </w:p>
    <w:p w:rsidR="00F242BE" w:rsidRPr="008A2515" w:rsidRDefault="00F242BE" w:rsidP="00F242BE">
      <w:pPr>
        <w:spacing w:before="240" w:after="240"/>
        <w:jc w:val="both"/>
        <w:rPr>
          <w:rFonts w:ascii="Times New Roman" w:eastAsia="Times New Roman" w:hAnsi="Times New Roman"/>
          <w:color w:val="000000"/>
          <w:sz w:val="24"/>
          <w:szCs w:val="24"/>
        </w:rPr>
      </w:pPr>
    </w:p>
    <w:sectPr w:rsidR="00F242BE" w:rsidRPr="008A2515" w:rsidSect="00580807">
      <w:footerReference w:type="default" r:id="rId18"/>
      <w:footnotePr>
        <w:numRestart w:val="eachSect"/>
      </w:footnotePr>
      <w:pgSz w:w="11906" w:h="16838" w:code="9"/>
      <w:pgMar w:top="1418" w:right="1440" w:bottom="1418"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4B1" w:rsidRDefault="00DA14B1" w:rsidP="00054C93">
      <w:r>
        <w:separator/>
      </w:r>
    </w:p>
  </w:endnote>
  <w:endnote w:type="continuationSeparator" w:id="0">
    <w:p w:rsidR="00DA14B1" w:rsidRDefault="00DA14B1" w:rsidP="00054C93">
      <w:r>
        <w:continuationSeparator/>
      </w:r>
    </w:p>
  </w:endnote>
  <w:endnote w:type="continuationNotice" w:id="1">
    <w:p w:rsidR="00DA14B1" w:rsidRDefault="00DA1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F82" w:rsidRPr="00C54801" w:rsidRDefault="00257F82" w:rsidP="00F97FDA">
    <w:pPr>
      <w:pStyle w:val="Footer"/>
      <w:jc w:val="right"/>
      <w:rPr>
        <w:rFonts w:ascii="Arial" w:hAnsi="Arial" w:cs="Arial"/>
        <w:b/>
      </w:rPr>
    </w:pPr>
    <w:r w:rsidRPr="00F97FDA">
      <w:rPr>
        <w:rFonts w:ascii="Times New Roman" w:hAnsi="Times New Roman"/>
        <w:sz w:val="24"/>
        <w:szCs w:val="24"/>
      </w:rPr>
      <w:t>SR</w:t>
    </w:r>
    <w:r>
      <w:rPr>
        <w:rFonts w:ascii="Times New Roman" w:hAnsi="Times New Roman"/>
        <w:sz w:val="24"/>
        <w:szCs w:val="24"/>
      </w:rPr>
      <w:t>S</w:t>
    </w:r>
    <w:r w:rsidRPr="00F97FDA">
      <w:rPr>
        <w:rFonts w:ascii="Times New Roman" w:hAnsi="Times New Roman"/>
        <w:sz w:val="24"/>
        <w:szCs w:val="24"/>
      </w:rPr>
      <w:t xml:space="preserve"> </w:t>
    </w:r>
    <w:r>
      <w:rPr>
        <w:rFonts w:ascii="Times New Roman" w:hAnsi="Times New Roman"/>
        <w:sz w:val="24"/>
        <w:szCs w:val="24"/>
      </w:rPr>
      <w:t>533.1</w:t>
    </w:r>
    <w:r w:rsidRPr="00F97FDA">
      <w:rPr>
        <w:rFonts w:ascii="Times New Roman" w:hAnsi="Times New Roman"/>
        <w:sz w:val="24"/>
        <w:szCs w:val="24"/>
      </w:rPr>
      <w:t xml:space="preserve"> - </w:t>
    </w:r>
    <w:r w:rsidRPr="00F97FDA">
      <w:rPr>
        <w:rFonts w:ascii="Times New Roman" w:hAnsi="Times New Roman"/>
        <w:sz w:val="24"/>
        <w:szCs w:val="24"/>
      </w:rPr>
      <w:fldChar w:fldCharType="begin"/>
    </w:r>
    <w:r w:rsidRPr="00F97FDA">
      <w:rPr>
        <w:rFonts w:ascii="Times New Roman" w:hAnsi="Times New Roman"/>
        <w:sz w:val="24"/>
        <w:szCs w:val="24"/>
      </w:rPr>
      <w:instrText xml:space="preserve"> PAGE   \* MERGEFORMAT </w:instrText>
    </w:r>
    <w:r w:rsidRPr="00F97FDA">
      <w:rPr>
        <w:rFonts w:ascii="Times New Roman" w:hAnsi="Times New Roman"/>
        <w:sz w:val="24"/>
        <w:szCs w:val="24"/>
      </w:rPr>
      <w:fldChar w:fldCharType="separate"/>
    </w:r>
    <w:r w:rsidR="0051406B">
      <w:rPr>
        <w:rFonts w:ascii="Times New Roman" w:hAnsi="Times New Roman"/>
        <w:noProof/>
        <w:sz w:val="24"/>
        <w:szCs w:val="24"/>
      </w:rPr>
      <w:t>2</w:t>
    </w:r>
    <w:r w:rsidRPr="00F97FDA">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F82" w:rsidRPr="00C54801" w:rsidRDefault="00257F82" w:rsidP="00F97FDA">
    <w:pPr>
      <w:pStyle w:val="Footer"/>
      <w:jc w:val="right"/>
      <w:rPr>
        <w:rFonts w:ascii="Arial" w:hAnsi="Arial" w:cs="Arial"/>
        <w:b/>
      </w:rPr>
    </w:pPr>
    <w:r w:rsidRPr="00F97FDA">
      <w:rPr>
        <w:rFonts w:ascii="Times New Roman" w:hAnsi="Times New Roman"/>
        <w:sz w:val="24"/>
        <w:szCs w:val="24"/>
      </w:rPr>
      <w:t xml:space="preserve">SRF </w:t>
    </w:r>
    <w:r>
      <w:rPr>
        <w:rFonts w:ascii="Times New Roman" w:hAnsi="Times New Roman"/>
        <w:sz w:val="24"/>
        <w:szCs w:val="24"/>
      </w:rPr>
      <w:t>533.1</w:t>
    </w:r>
    <w:r w:rsidRPr="00F97FDA">
      <w:rPr>
        <w:rFonts w:ascii="Times New Roman" w:hAnsi="Times New Roman"/>
        <w:sz w:val="24"/>
        <w:szCs w:val="24"/>
      </w:rPr>
      <w:t xml:space="preserve"> - </w:t>
    </w:r>
    <w:r w:rsidRPr="00F97FDA">
      <w:rPr>
        <w:rFonts w:ascii="Times New Roman" w:hAnsi="Times New Roman"/>
        <w:sz w:val="24"/>
        <w:szCs w:val="24"/>
      </w:rPr>
      <w:fldChar w:fldCharType="begin"/>
    </w:r>
    <w:r w:rsidRPr="00F97FDA">
      <w:rPr>
        <w:rFonts w:ascii="Times New Roman" w:hAnsi="Times New Roman"/>
        <w:sz w:val="24"/>
        <w:szCs w:val="24"/>
      </w:rPr>
      <w:instrText xml:space="preserve"> PAGE   \* MERGEFORMAT </w:instrText>
    </w:r>
    <w:r w:rsidRPr="00F97FDA">
      <w:rPr>
        <w:rFonts w:ascii="Times New Roman" w:hAnsi="Times New Roman"/>
        <w:sz w:val="24"/>
        <w:szCs w:val="24"/>
      </w:rPr>
      <w:fldChar w:fldCharType="separate"/>
    </w:r>
    <w:r w:rsidR="0051406B">
      <w:rPr>
        <w:rFonts w:ascii="Times New Roman" w:hAnsi="Times New Roman"/>
        <w:noProof/>
        <w:sz w:val="24"/>
        <w:szCs w:val="24"/>
      </w:rPr>
      <w:t>2</w:t>
    </w:r>
    <w:r w:rsidRPr="00F97FDA">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F82" w:rsidRPr="00C54801" w:rsidRDefault="00257F82" w:rsidP="00F97FDA">
    <w:pPr>
      <w:pStyle w:val="Footer"/>
      <w:jc w:val="right"/>
      <w:rPr>
        <w:rFonts w:ascii="Arial" w:hAnsi="Arial" w:cs="Arial"/>
        <w:b/>
      </w:rPr>
    </w:pPr>
    <w:r w:rsidRPr="00F97FDA">
      <w:rPr>
        <w:rFonts w:ascii="Times New Roman" w:hAnsi="Times New Roman"/>
        <w:sz w:val="24"/>
        <w:szCs w:val="24"/>
      </w:rPr>
      <w:t xml:space="preserve">SRF </w:t>
    </w:r>
    <w:r>
      <w:rPr>
        <w:rFonts w:ascii="Times New Roman" w:hAnsi="Times New Roman"/>
        <w:sz w:val="24"/>
        <w:szCs w:val="24"/>
      </w:rPr>
      <w:t>533.1</w:t>
    </w:r>
    <w:r w:rsidRPr="00F97FDA">
      <w:rPr>
        <w:rFonts w:ascii="Times New Roman" w:hAnsi="Times New Roman"/>
        <w:sz w:val="24"/>
        <w:szCs w:val="24"/>
      </w:rPr>
      <w:t xml:space="preserve"> Instructions - </w:t>
    </w:r>
    <w:r w:rsidRPr="00F97FDA">
      <w:rPr>
        <w:rFonts w:ascii="Times New Roman" w:hAnsi="Times New Roman"/>
        <w:sz w:val="24"/>
        <w:szCs w:val="24"/>
      </w:rPr>
      <w:fldChar w:fldCharType="begin"/>
    </w:r>
    <w:r w:rsidRPr="00F97FDA">
      <w:rPr>
        <w:rFonts w:ascii="Times New Roman" w:hAnsi="Times New Roman"/>
        <w:sz w:val="24"/>
        <w:szCs w:val="24"/>
      </w:rPr>
      <w:instrText xml:space="preserve"> PAGE   \* MERGEFORMAT </w:instrText>
    </w:r>
    <w:r w:rsidRPr="00F97FDA">
      <w:rPr>
        <w:rFonts w:ascii="Times New Roman" w:hAnsi="Times New Roman"/>
        <w:sz w:val="24"/>
        <w:szCs w:val="24"/>
      </w:rPr>
      <w:fldChar w:fldCharType="separate"/>
    </w:r>
    <w:r w:rsidR="0051406B">
      <w:rPr>
        <w:rFonts w:ascii="Times New Roman" w:hAnsi="Times New Roman"/>
        <w:noProof/>
        <w:sz w:val="24"/>
        <w:szCs w:val="24"/>
      </w:rPr>
      <w:t>10</w:t>
    </w:r>
    <w:r w:rsidRPr="00F97FDA">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4B1" w:rsidRDefault="00DA14B1" w:rsidP="00054C93">
      <w:r>
        <w:separator/>
      </w:r>
    </w:p>
  </w:footnote>
  <w:footnote w:type="continuationSeparator" w:id="0">
    <w:p w:rsidR="00DA14B1" w:rsidRDefault="00DA14B1" w:rsidP="00054C93">
      <w:r>
        <w:continuationSeparator/>
      </w:r>
    </w:p>
  </w:footnote>
  <w:footnote w:type="continuationNotice" w:id="1">
    <w:p w:rsidR="00DA14B1" w:rsidRDefault="00DA14B1"/>
  </w:footnote>
  <w:footnote w:id="2">
    <w:p w:rsidR="00257F82" w:rsidRPr="003A0B11" w:rsidRDefault="00257F82" w:rsidP="004560C6">
      <w:pPr>
        <w:pStyle w:val="FootnoteText"/>
        <w:spacing w:before="0" w:after="0"/>
        <w:ind w:left="567" w:hanging="567"/>
        <w:jc w:val="both"/>
        <w:rPr>
          <w:rFonts w:ascii="Times New Roman" w:hAnsi="Times New Roman"/>
          <w:lang w:val="en-AU"/>
        </w:rPr>
      </w:pPr>
      <w:r w:rsidRPr="003A0B11">
        <w:rPr>
          <w:rStyle w:val="FootnoteReference"/>
          <w:rFonts w:ascii="Times New Roman" w:hAnsi="Times New Roman"/>
        </w:rPr>
        <w:footnoteRef/>
      </w:r>
      <w:r w:rsidRPr="003A0B11">
        <w:rPr>
          <w:rFonts w:ascii="Times New Roman" w:hAnsi="Times New Roman"/>
        </w:rPr>
        <w:t xml:space="preserve"> </w:t>
      </w:r>
      <w:r w:rsidRPr="003A0B11">
        <w:rPr>
          <w:rFonts w:ascii="Times New Roman" w:hAnsi="Times New Roman"/>
        </w:rPr>
        <w:tab/>
        <w:t xml:space="preserve">For the purposes of this Reporting Standard, an </w:t>
      </w:r>
      <w:r w:rsidRPr="009225C0">
        <w:rPr>
          <w:rFonts w:ascii="Times New Roman" w:hAnsi="Times New Roman"/>
        </w:rPr>
        <w:t xml:space="preserve">RSE licensee’s </w:t>
      </w:r>
      <w:r w:rsidRPr="005D11D4">
        <w:rPr>
          <w:rFonts w:ascii="Times New Roman" w:hAnsi="Times New Roman"/>
          <w:lang w:val="en-AU"/>
        </w:rPr>
        <w:t>‘</w:t>
      </w:r>
      <w:r w:rsidRPr="005D11D4">
        <w:rPr>
          <w:rFonts w:ascii="Times New Roman" w:hAnsi="Times New Roman"/>
        </w:rPr>
        <w:t>business operations</w:t>
      </w:r>
      <w:r w:rsidRPr="009225C0">
        <w:rPr>
          <w:rFonts w:ascii="Times New Roman" w:hAnsi="Times New Roman"/>
        </w:rPr>
        <w:t>’</w:t>
      </w:r>
      <w:r w:rsidRPr="003A0B11">
        <w:rPr>
          <w:rFonts w:ascii="Times New Roman" w:hAnsi="Times New Roman"/>
        </w:rPr>
        <w:t xml:space="preserve"> includes all activities as an RSE licensee (including the activities of each RSE of which it is the licensee), and all other activities of the RSE licensee to the extent that they are relevant to, or may impact on, its activities as an RSE licensee.</w:t>
      </w:r>
      <w:r w:rsidRPr="003A0B11">
        <w:rPr>
          <w:rFonts w:ascii="Times New Roman" w:hAnsi="Times New Roman"/>
          <w:lang w:val="en-AU"/>
        </w:rPr>
        <w:t xml:space="preserve"> </w:t>
      </w:r>
      <w:r w:rsidRPr="003A0B11">
        <w:rPr>
          <w:rFonts w:ascii="Times New Roman" w:hAnsi="Times New Roman"/>
        </w:rPr>
        <w:t xml:space="preserve">For the avoidance of doubt, if the RSE licensee </w:t>
      </w:r>
      <w:r w:rsidRPr="003A0B11">
        <w:rPr>
          <w:rFonts w:ascii="Times New Roman" w:hAnsi="Times New Roman"/>
          <w:lang w:val="en-AU"/>
        </w:rPr>
        <w:t>has</w:t>
      </w:r>
      <w:r w:rsidRPr="003A0B11">
        <w:rPr>
          <w:rFonts w:ascii="Times New Roman" w:hAnsi="Times New Roman"/>
        </w:rPr>
        <w:t xml:space="preserve"> more than one </w:t>
      </w:r>
      <w:r>
        <w:rPr>
          <w:rFonts w:ascii="Times New Roman" w:hAnsi="Times New Roman"/>
          <w:lang w:val="en-AU"/>
        </w:rPr>
        <w:t>select investment option</w:t>
      </w:r>
      <w:r w:rsidRPr="003A0B11">
        <w:rPr>
          <w:rFonts w:ascii="Times New Roman" w:hAnsi="Times New Roman"/>
          <w:lang w:val="en-AU"/>
        </w:rPr>
        <w:t xml:space="preserve"> within its business operations</w:t>
      </w:r>
      <w:r w:rsidRPr="003A0B11">
        <w:rPr>
          <w:rFonts w:ascii="Times New Roman" w:hAnsi="Times New Roman"/>
        </w:rPr>
        <w:t xml:space="preserve">, the RSE licensee must separately provide the information required by the form for each </w:t>
      </w:r>
      <w:r>
        <w:rPr>
          <w:rFonts w:ascii="Times New Roman" w:hAnsi="Times New Roman"/>
          <w:lang w:val="en-AU"/>
        </w:rPr>
        <w:t>select investment option</w:t>
      </w:r>
      <w:r w:rsidRPr="003A0B11">
        <w:rPr>
          <w:rFonts w:ascii="Times New Roman" w:hAnsi="Times New Roman"/>
          <w:lang w:val="en-AU"/>
        </w:rPr>
        <w:t xml:space="preserve"> </w:t>
      </w:r>
      <w:r w:rsidRPr="003A0B11">
        <w:rPr>
          <w:rFonts w:ascii="Times New Roman" w:hAnsi="Times New Roman"/>
        </w:rPr>
        <w:t xml:space="preserve">within </w:t>
      </w:r>
      <w:r w:rsidRPr="003A0B11">
        <w:rPr>
          <w:rFonts w:ascii="Times New Roman" w:hAnsi="Times New Roman"/>
          <w:lang w:val="en-AU"/>
        </w:rPr>
        <w:t>its</w:t>
      </w:r>
      <w:r w:rsidRPr="003A0B11">
        <w:rPr>
          <w:rFonts w:ascii="Times New Roman" w:hAnsi="Times New Roman"/>
        </w:rPr>
        <w:t xml:space="preserve"> business operations</w:t>
      </w:r>
      <w:r w:rsidRPr="003A0B11">
        <w:rPr>
          <w:rFonts w:ascii="Times New Roman" w:hAnsi="Times New Roman"/>
          <w:lang w:val="en-AU"/>
        </w:rPr>
        <w:t>.</w:t>
      </w:r>
      <w:r>
        <w:rPr>
          <w:rFonts w:ascii="Times New Roman" w:hAnsi="Times New Roman"/>
          <w:lang w:val="en-AU"/>
        </w:rPr>
        <w:t xml:space="preserve"> A</w:t>
      </w:r>
      <w:r>
        <w:rPr>
          <w:rFonts w:ascii="Times New Roman" w:hAnsi="Times New Roman"/>
        </w:rPr>
        <w:t xml:space="preserve">n RSE licensee that does not have any </w:t>
      </w:r>
      <w:r>
        <w:rPr>
          <w:rFonts w:ascii="Times New Roman" w:hAnsi="Times New Roman"/>
          <w:lang w:val="en-AU"/>
        </w:rPr>
        <w:t xml:space="preserve">select investment options </w:t>
      </w:r>
      <w:r>
        <w:rPr>
          <w:rFonts w:ascii="Times New Roman" w:hAnsi="Times New Roman"/>
        </w:rPr>
        <w:t>within its business operations is not required to provide information under this Reporting Standard.</w:t>
      </w:r>
    </w:p>
  </w:footnote>
  <w:footnote w:id="3">
    <w:p w:rsidR="00257F82" w:rsidRPr="003A0B11" w:rsidRDefault="00257F82" w:rsidP="004560C6">
      <w:pPr>
        <w:pStyle w:val="FootnoteText"/>
        <w:spacing w:before="0" w:after="0"/>
        <w:ind w:left="567" w:hanging="567"/>
        <w:jc w:val="both"/>
        <w:rPr>
          <w:rFonts w:ascii="Times New Roman" w:hAnsi="Times New Roman"/>
          <w:lang w:val="en-AU"/>
        </w:rPr>
      </w:pPr>
      <w:r w:rsidRPr="003A0B11">
        <w:rPr>
          <w:rStyle w:val="FootnoteReference"/>
          <w:rFonts w:ascii="Times New Roman" w:hAnsi="Times New Roman"/>
        </w:rPr>
        <w:footnoteRef/>
      </w:r>
      <w:r w:rsidRPr="003A0B11">
        <w:rPr>
          <w:rFonts w:ascii="Times New Roman" w:hAnsi="Times New Roman"/>
        </w:rPr>
        <w:t xml:space="preserve"> </w:t>
      </w:r>
      <w:r w:rsidRPr="003A0B11">
        <w:rPr>
          <w:rFonts w:ascii="Times New Roman" w:hAnsi="Times New Roman"/>
          <w:lang w:val="en-AU"/>
        </w:rPr>
        <w:tab/>
      </w:r>
      <w:r w:rsidRPr="003A0B11">
        <w:rPr>
          <w:rFonts w:ascii="Times New Roman" w:hAnsi="Times New Roman"/>
        </w:rPr>
        <w:t>For the avoidance of doubt, if the due date for a particular reporting period falls on a day other than a usual business day, an RSE licensee is nonetheless required to submit the information required no later than the due date.</w:t>
      </w:r>
    </w:p>
  </w:footnote>
  <w:footnote w:id="4">
    <w:p w:rsidR="00257F82" w:rsidRPr="003A0B11" w:rsidRDefault="00257F82" w:rsidP="004560C6">
      <w:pPr>
        <w:pStyle w:val="FootnoteText"/>
        <w:spacing w:before="0" w:after="0"/>
        <w:ind w:left="567" w:hanging="567"/>
        <w:jc w:val="both"/>
        <w:rPr>
          <w:rFonts w:ascii="Times New Roman" w:hAnsi="Times New Roman"/>
        </w:rPr>
      </w:pPr>
      <w:r w:rsidRPr="003A0B11">
        <w:rPr>
          <w:rStyle w:val="FootnoteReference"/>
          <w:rFonts w:ascii="Times New Roman" w:hAnsi="Times New Roman"/>
        </w:rPr>
        <w:footnoteRef/>
      </w:r>
      <w:r w:rsidRPr="003A0B11">
        <w:rPr>
          <w:rFonts w:ascii="Times New Roman" w:hAnsi="Times New Roman"/>
        </w:rPr>
        <w:t xml:space="preserve"> </w:t>
      </w:r>
      <w:r w:rsidRPr="003A0B11">
        <w:rPr>
          <w:rFonts w:ascii="Times New Roman" w:hAnsi="Times New Roman"/>
        </w:rPr>
        <w:tab/>
        <w:t xml:space="preserve">Refer also to </w:t>
      </w:r>
      <w:r w:rsidRPr="003A0B11">
        <w:rPr>
          <w:rFonts w:ascii="Times New Roman" w:hAnsi="Times New Roman"/>
          <w:i/>
        </w:rPr>
        <w:t>Prudential Standard SPS 310 Audit and Related Matters</w:t>
      </w:r>
      <w:r w:rsidRPr="003A0B11">
        <w:rPr>
          <w:rFonts w:ascii="Times New Roman" w:hAnsi="Times New Roman"/>
        </w:rPr>
        <w:t xml:space="preserve"> (SPS 310).</w:t>
      </w:r>
    </w:p>
  </w:footnote>
  <w:footnote w:id="5">
    <w:p w:rsidR="00257F82" w:rsidRDefault="00257F82" w:rsidP="004560C6">
      <w:pPr>
        <w:pStyle w:val="FootnoteText"/>
        <w:spacing w:before="0" w:after="0"/>
        <w:ind w:left="567" w:hanging="567"/>
        <w:rPr>
          <w:rFonts w:ascii="Times New Roman" w:hAnsi="Times New Roman"/>
          <w:lang w:val="en-AU"/>
        </w:rPr>
      </w:pPr>
      <w:r w:rsidRPr="003A0B11">
        <w:rPr>
          <w:rStyle w:val="FootnoteReference"/>
          <w:rFonts w:ascii="Times New Roman" w:hAnsi="Times New Roman"/>
        </w:rPr>
        <w:footnoteRef/>
      </w:r>
      <w:r w:rsidRPr="003A0B11">
        <w:rPr>
          <w:rFonts w:ascii="Times New Roman" w:hAnsi="Times New Roman"/>
        </w:rPr>
        <w:t xml:space="preserve"> </w:t>
      </w:r>
      <w:r w:rsidRPr="003A0B11">
        <w:rPr>
          <w:rFonts w:ascii="Times New Roman" w:hAnsi="Times New Roman"/>
        </w:rPr>
        <w:tab/>
        <w:t xml:space="preserve">Refer to </w:t>
      </w:r>
      <w:r w:rsidRPr="003A0B11">
        <w:rPr>
          <w:rFonts w:ascii="Times New Roman" w:hAnsi="Times New Roman"/>
          <w:i/>
        </w:rPr>
        <w:t>Prudential Standard SPS 510 Governance</w:t>
      </w:r>
      <w:r w:rsidRPr="003A0B11">
        <w:rPr>
          <w:rFonts w:ascii="Times New Roman" w:hAnsi="Times New Roman"/>
        </w:rPr>
        <w:t>.</w:t>
      </w:r>
    </w:p>
    <w:p w:rsidR="00A54FBB" w:rsidRPr="00A54FBB" w:rsidRDefault="00A54FBB" w:rsidP="004560C6">
      <w:pPr>
        <w:pStyle w:val="FootnoteText"/>
        <w:spacing w:before="0" w:after="0"/>
        <w:ind w:left="567" w:hanging="567"/>
        <w:rPr>
          <w:rFonts w:ascii="Times New Roman" w:hAnsi="Times New Roman"/>
          <w:lang w:val="en-AU"/>
        </w:rPr>
      </w:pPr>
    </w:p>
  </w:footnote>
  <w:footnote w:id="6">
    <w:p w:rsidR="00257F82" w:rsidRPr="003A0B11" w:rsidRDefault="00257F82" w:rsidP="004560C6">
      <w:pPr>
        <w:pStyle w:val="FootnoteText"/>
        <w:spacing w:before="0" w:after="0"/>
        <w:ind w:left="567" w:hanging="567"/>
        <w:jc w:val="both"/>
        <w:rPr>
          <w:rFonts w:ascii="Times New Roman" w:hAnsi="Times New Roman"/>
          <w:lang w:val="en-AU"/>
        </w:rPr>
      </w:pPr>
      <w:r w:rsidRPr="003A0B11">
        <w:rPr>
          <w:rStyle w:val="FootnoteReference"/>
          <w:rFonts w:ascii="Times New Roman" w:hAnsi="Times New Roman"/>
        </w:rPr>
        <w:footnoteRef/>
      </w:r>
      <w:r w:rsidRPr="003A0B11">
        <w:rPr>
          <w:rFonts w:ascii="Times New Roman" w:hAnsi="Times New Roman"/>
        </w:rPr>
        <w:t xml:space="preserve"> </w:t>
      </w:r>
      <w:r w:rsidRPr="003A0B11">
        <w:rPr>
          <w:rFonts w:ascii="Times New Roman" w:hAnsi="Times New Roman"/>
          <w:lang w:val="en-AU"/>
        </w:rPr>
        <w:tab/>
        <w:t>For the purposes of this Reporting Standard, ‘small APRA fund’ means a superannuation entity that is a regulated superannuation fund, within the meaning of the SIS Act, which has fewer than five members and ‘single member approved deposit fund’ means a superannuation entity that is an approved deposit fund, within the meaning of the SIS Act, and has only one member.</w:t>
      </w:r>
    </w:p>
  </w:footnote>
  <w:footnote w:id="7">
    <w:p w:rsidR="00257F82" w:rsidRPr="00672BAC" w:rsidRDefault="00257F82" w:rsidP="00505882">
      <w:pPr>
        <w:pStyle w:val="FootnoteText"/>
        <w:ind w:left="567" w:hanging="567"/>
        <w:jc w:val="both"/>
        <w:rPr>
          <w:rFonts w:ascii="Times New Roman" w:hAnsi="Times New Roman"/>
        </w:rPr>
      </w:pPr>
      <w:r w:rsidRPr="00802CC5">
        <w:rPr>
          <w:rStyle w:val="FootnoteReference"/>
          <w:rFonts w:ascii="Times New Roman" w:hAnsi="Times New Roman"/>
        </w:rPr>
        <w:footnoteRef/>
      </w:r>
      <w:r w:rsidRPr="00802CC5">
        <w:rPr>
          <w:rFonts w:ascii="Times New Roman" w:hAnsi="Times New Roman"/>
        </w:rPr>
        <w:t xml:space="preserve"> </w:t>
      </w:r>
      <w:r w:rsidRPr="00802CC5">
        <w:rPr>
          <w:rFonts w:ascii="Times New Roman" w:hAnsi="Times New Roman"/>
        </w:rPr>
        <w:tab/>
        <w:t xml:space="preserve">Refer to </w:t>
      </w:r>
      <w:r w:rsidRPr="00802CC5">
        <w:rPr>
          <w:rFonts w:ascii="Times New Roman" w:hAnsi="Times New Roman"/>
          <w:i/>
        </w:rPr>
        <w:t xml:space="preserve">Reporting Standard SRS 001.0 Profile and Structure (Baseline) </w:t>
      </w:r>
      <w:r w:rsidRPr="00802CC5">
        <w:rPr>
          <w:rFonts w:ascii="Times New Roman" w:hAnsi="Times New Roman"/>
        </w:rPr>
        <w:t>for obligations to report information about select investment options to APRA on 30 June each year.</w:t>
      </w:r>
      <w:r w:rsidRPr="00672BAC">
        <w:rPr>
          <w:rFonts w:ascii="Times New Roman" w:hAnsi="Times New Roman"/>
        </w:rPr>
        <w:t xml:space="preserve"> </w:t>
      </w:r>
    </w:p>
  </w:footnote>
  <w:footnote w:id="8">
    <w:p w:rsidR="00257F82" w:rsidRPr="003A0B11" w:rsidRDefault="00257F82" w:rsidP="00325ED8">
      <w:pPr>
        <w:pStyle w:val="FootnoteText"/>
        <w:spacing w:before="0" w:after="0"/>
        <w:ind w:left="567" w:hanging="567"/>
        <w:jc w:val="both"/>
        <w:rPr>
          <w:rFonts w:ascii="Times New Roman" w:hAnsi="Times New Roman"/>
          <w:lang w:val="en-AU"/>
        </w:rPr>
      </w:pPr>
      <w:r w:rsidRPr="003A0B11">
        <w:rPr>
          <w:rStyle w:val="FootnoteReference"/>
          <w:rFonts w:ascii="Times New Roman" w:hAnsi="Times New Roman"/>
        </w:rPr>
        <w:footnoteRef/>
      </w:r>
      <w:r w:rsidRPr="003A0B11">
        <w:rPr>
          <w:rFonts w:ascii="Times New Roman" w:hAnsi="Times New Roman"/>
        </w:rPr>
        <w:t xml:space="preserve"> </w:t>
      </w:r>
      <w:r w:rsidRPr="003A0B11">
        <w:rPr>
          <w:rFonts w:ascii="Times New Roman" w:hAnsi="Times New Roman"/>
          <w:lang w:val="en-AU"/>
        </w:rPr>
        <w:tab/>
        <w:t>For the purposes of these instructions, ‘small APRA fund’ means a superannuation entity that is a regulated superannuation fund, within the meaning of the SIS Act, which has fewer than five members and ‘single member approved deposit fund’ means a superannuation entity that is an approved deposit fund, within the meaning of the SIS Act, and has only one member.</w:t>
      </w:r>
    </w:p>
  </w:footnote>
  <w:footnote w:id="9">
    <w:p w:rsidR="00257F82" w:rsidRPr="00672BAC" w:rsidRDefault="00257F82" w:rsidP="00F242BE">
      <w:pPr>
        <w:pStyle w:val="FootnoteText"/>
        <w:ind w:left="567" w:hanging="567"/>
        <w:jc w:val="both"/>
        <w:rPr>
          <w:rFonts w:ascii="Times New Roman" w:hAnsi="Times New Roman"/>
        </w:rPr>
      </w:pPr>
      <w:r w:rsidRPr="00802CC5">
        <w:rPr>
          <w:rStyle w:val="FootnoteReference"/>
          <w:rFonts w:ascii="Times New Roman" w:hAnsi="Times New Roman"/>
        </w:rPr>
        <w:footnoteRef/>
      </w:r>
      <w:r w:rsidRPr="00802CC5">
        <w:rPr>
          <w:rFonts w:ascii="Times New Roman" w:hAnsi="Times New Roman"/>
        </w:rPr>
        <w:t xml:space="preserve"> </w:t>
      </w:r>
      <w:r w:rsidRPr="00802CC5">
        <w:rPr>
          <w:rFonts w:ascii="Times New Roman" w:hAnsi="Times New Roman"/>
        </w:rPr>
        <w:tab/>
        <w:t xml:space="preserve">Refer to </w:t>
      </w:r>
      <w:r w:rsidRPr="00802CC5">
        <w:rPr>
          <w:rFonts w:ascii="Times New Roman" w:hAnsi="Times New Roman"/>
          <w:i/>
        </w:rPr>
        <w:t xml:space="preserve">Reporting Standard SRS 001.0 Profile and Structure (Baseline) </w:t>
      </w:r>
      <w:r w:rsidRPr="00802CC5">
        <w:rPr>
          <w:rFonts w:ascii="Times New Roman" w:hAnsi="Times New Roman"/>
        </w:rPr>
        <w:t>for obligations to report information about select investment options to APRA on 30 June each year.</w:t>
      </w:r>
      <w:r w:rsidRPr="00672BAC">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F82" w:rsidRPr="00F4321B" w:rsidRDefault="00257F82" w:rsidP="00EF7F75">
    <w:pPr>
      <w:pStyle w:val="Header"/>
      <w:tabs>
        <w:tab w:val="left" w:pos="6090"/>
      </w:tabs>
      <w:rPr>
        <w:lang w:val="en-AU"/>
      </w:rPr>
    </w:pPr>
    <w:r>
      <w:rPr>
        <w:rFonts w:ascii="Times New Roman" w:hAnsi="Times New Roman"/>
        <w:b/>
        <w:sz w:val="28"/>
        <w:szCs w:val="28"/>
      </w:rPr>
      <w:tab/>
    </w:r>
    <w:r w:rsidRPr="009225C0">
      <w:rPr>
        <w:rFonts w:ascii="Times New Roman" w:hAnsi="Times New Roman"/>
        <w:b/>
        <w:sz w:val="24"/>
        <w:szCs w:val="24"/>
        <w:lang w:val="en-AU"/>
      </w:rPr>
      <w:t>Draft</w:t>
    </w:r>
    <w:r>
      <w:rPr>
        <w:rFonts w:ascii="Times New Roman" w:hAnsi="Times New Roman"/>
        <w:b/>
        <w:sz w:val="28"/>
        <w:szCs w:val="28"/>
      </w:rPr>
      <w:tab/>
    </w:r>
    <w:r>
      <w:rPr>
        <w:rFonts w:ascii="Times New Roman" w:hAnsi="Times New Roman"/>
        <w:b/>
        <w:sz w:val="28"/>
        <w:szCs w:val="28"/>
      </w:rPr>
      <w:tab/>
    </w:r>
    <w:r w:rsidR="009225C0">
      <w:rPr>
        <w:rFonts w:ascii="Times New Roman" w:hAnsi="Times New Roman"/>
        <w:sz w:val="24"/>
        <w:szCs w:val="24"/>
        <w:lang w:val="en-AU"/>
      </w:rPr>
      <w:t>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4EC"/>
    <w:multiLevelType w:val="hybridMultilevel"/>
    <w:tmpl w:val="5C3ABA32"/>
    <w:lvl w:ilvl="0" w:tplc="ED5A40E2">
      <w:start w:val="1"/>
      <w:numFmt w:val="lowerLetter"/>
      <w:lvlText w:val="(%1)"/>
      <w:lvlJc w:val="left"/>
      <w:pPr>
        <w:ind w:left="1134" w:hanging="567"/>
      </w:pPr>
      <w:rPr>
        <w:rFonts w:cs="Times New Roman"/>
      </w:rPr>
    </w:lvl>
    <w:lvl w:ilvl="1" w:tplc="9C6C8792">
      <w:start w:val="1"/>
      <w:numFmt w:val="lowerRoman"/>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64A3F7E"/>
    <w:multiLevelType w:val="hybridMultilevel"/>
    <w:tmpl w:val="86E0A1A6"/>
    <w:lvl w:ilvl="0" w:tplc="ED5A40E2">
      <w:start w:val="1"/>
      <w:numFmt w:val="lowerLetter"/>
      <w:lvlText w:val="(%1)"/>
      <w:lvlJc w:val="left"/>
      <w:pPr>
        <w:ind w:left="1134" w:hanging="567"/>
      </w:pPr>
      <w:rPr>
        <w:rFonts w:cs="Times New Roman"/>
      </w:rPr>
    </w:lvl>
    <w:lvl w:ilvl="1" w:tplc="0792E1AE">
      <w:start w:val="1"/>
      <w:numFmt w:val="lowerRoman"/>
      <w:lvlText w:val="(%2)"/>
      <w:lvlJc w:val="left"/>
      <w:pPr>
        <w:tabs>
          <w:tab w:val="num" w:pos="1701"/>
        </w:tabs>
        <w:ind w:left="1701" w:hanging="567"/>
      </w:pPr>
      <w:rPr>
        <w:rFonts w:cs="Times New Roman"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19BD1590"/>
    <w:multiLevelType w:val="hybridMultilevel"/>
    <w:tmpl w:val="E1BCA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24E4703"/>
    <w:multiLevelType w:val="multilevel"/>
    <w:tmpl w:val="BFA0EDD8"/>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
    <w:nsid w:val="242D0D60"/>
    <w:multiLevelType w:val="hybridMultilevel"/>
    <w:tmpl w:val="B34E5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B377343"/>
    <w:multiLevelType w:val="multilevel"/>
    <w:tmpl w:val="555C42C0"/>
    <w:lvl w:ilvl="0">
      <w:start w:val="1"/>
      <w:numFmt w:val="decimal"/>
      <w:lvlText w:val="3.%1"/>
      <w:lvlJc w:val="left"/>
      <w:pPr>
        <w:ind w:left="720" w:hanging="360"/>
      </w:pPr>
      <w:rPr>
        <w:rFonts w:cs="Times New Roman"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5FE5F97"/>
    <w:multiLevelType w:val="hybridMultilevel"/>
    <w:tmpl w:val="86E0A1A6"/>
    <w:lvl w:ilvl="0" w:tplc="ED5A40E2">
      <w:start w:val="1"/>
      <w:numFmt w:val="lowerLetter"/>
      <w:lvlText w:val="(%1)"/>
      <w:lvlJc w:val="left"/>
      <w:pPr>
        <w:ind w:left="1134" w:hanging="567"/>
      </w:pPr>
      <w:rPr>
        <w:rFonts w:cs="Times New Roman"/>
      </w:rPr>
    </w:lvl>
    <w:lvl w:ilvl="1" w:tplc="0792E1AE">
      <w:start w:val="1"/>
      <w:numFmt w:val="lowerRoman"/>
      <w:lvlText w:val="(%2)"/>
      <w:lvlJc w:val="left"/>
      <w:pPr>
        <w:tabs>
          <w:tab w:val="num" w:pos="1701"/>
        </w:tabs>
        <w:ind w:left="1701" w:hanging="567"/>
      </w:pPr>
      <w:rPr>
        <w:rFonts w:cs="Times New Roman"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8">
    <w:nsid w:val="497D0F64"/>
    <w:multiLevelType w:val="hybridMultilevel"/>
    <w:tmpl w:val="C9A42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D767110"/>
    <w:multiLevelType w:val="hybridMultilevel"/>
    <w:tmpl w:val="8E18D4EC"/>
    <w:lvl w:ilvl="0" w:tplc="E806F132">
      <w:start w:val="1"/>
      <w:numFmt w:val="bullet"/>
      <w:lvlText w:val=""/>
      <w:lvlJc w:val="left"/>
      <w:pPr>
        <w:tabs>
          <w:tab w:val="num" w:pos="567"/>
        </w:tabs>
        <w:ind w:left="567" w:hanging="567"/>
      </w:pPr>
      <w:rPr>
        <w:rFonts w:ascii="Symbol" w:hAnsi="Symbol" w:hint="default"/>
      </w:rPr>
    </w:lvl>
    <w:lvl w:ilvl="1" w:tplc="20ACEA3C">
      <w:start w:val="1"/>
      <w:numFmt w:val="lowerRoman"/>
      <w:lvlText w:val="(%2)"/>
      <w:lvlJc w:val="left"/>
      <w:pPr>
        <w:tabs>
          <w:tab w:val="num" w:pos="1701"/>
        </w:tabs>
        <w:ind w:left="1701" w:hanging="567"/>
      </w:pPr>
      <w:rPr>
        <w:rFonts w:cs="Times New Roman"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0">
    <w:nsid w:val="4DB14218"/>
    <w:multiLevelType w:val="hybridMultilevel"/>
    <w:tmpl w:val="DD2200FE"/>
    <w:lvl w:ilvl="0" w:tplc="A79CB96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DF97CF1"/>
    <w:multiLevelType w:val="hybridMultilevel"/>
    <w:tmpl w:val="D7882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24850C2"/>
    <w:multiLevelType w:val="hybridMultilevel"/>
    <w:tmpl w:val="E62CB2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7EB23AE"/>
    <w:multiLevelType w:val="hybridMultilevel"/>
    <w:tmpl w:val="EB0239A2"/>
    <w:lvl w:ilvl="0" w:tplc="01E8636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9251D6"/>
    <w:multiLevelType w:val="hybridMultilevel"/>
    <w:tmpl w:val="B26EB282"/>
    <w:lvl w:ilvl="0" w:tplc="A79CB964">
      <w:start w:val="1"/>
      <w:numFmt w:val="bullet"/>
      <w:lvlText w:val=""/>
      <w:lvlJc w:val="left"/>
      <w:pPr>
        <w:tabs>
          <w:tab w:val="num" w:pos="567"/>
        </w:tabs>
        <w:ind w:left="567" w:hanging="567"/>
      </w:pPr>
      <w:rPr>
        <w:rFonts w:ascii="Symbol" w:hAnsi="Symbol" w:hint="default"/>
      </w:rPr>
    </w:lvl>
    <w:lvl w:ilvl="1" w:tplc="ED5A40E2">
      <w:start w:val="1"/>
      <w:numFmt w:val="lowerLetter"/>
      <w:lvlText w:val="(%2)"/>
      <w:lvlJc w:val="left"/>
      <w:pPr>
        <w:ind w:left="1134" w:hanging="567"/>
      </w:pPr>
      <w:rPr>
        <w:rFonts w:cs="Times New Roman"/>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5">
    <w:nsid w:val="65111074"/>
    <w:multiLevelType w:val="hybridMultilevel"/>
    <w:tmpl w:val="5C3ABA32"/>
    <w:lvl w:ilvl="0" w:tplc="ED5A40E2">
      <w:start w:val="1"/>
      <w:numFmt w:val="lowerLetter"/>
      <w:lvlText w:val="(%1)"/>
      <w:lvlJc w:val="left"/>
      <w:pPr>
        <w:ind w:left="1134" w:hanging="567"/>
      </w:pPr>
      <w:rPr>
        <w:rFonts w:cs="Times New Roman"/>
      </w:rPr>
    </w:lvl>
    <w:lvl w:ilvl="1" w:tplc="9C6C8792">
      <w:start w:val="1"/>
      <w:numFmt w:val="lowerRoman"/>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6">
    <w:nsid w:val="66E701ED"/>
    <w:multiLevelType w:val="multilevel"/>
    <w:tmpl w:val="3AA42C14"/>
    <w:lvl w:ilvl="0">
      <w:start w:val="2"/>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7">
    <w:nsid w:val="6D0B0670"/>
    <w:multiLevelType w:val="multilevel"/>
    <w:tmpl w:val="0B74C49A"/>
    <w:lvl w:ilvl="0">
      <w:start w:val="1"/>
      <w:numFmt w:val="none"/>
      <w:lvlText w:val="3.1"/>
      <w:lvlJc w:val="left"/>
      <w:pPr>
        <w:ind w:left="720" w:hanging="360"/>
      </w:pPr>
      <w:rPr>
        <w:rFonts w:cs="Times New Roman"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5D07A44"/>
    <w:multiLevelType w:val="hybridMultilevel"/>
    <w:tmpl w:val="C9102322"/>
    <w:lvl w:ilvl="0" w:tplc="ED5A40E2">
      <w:start w:val="1"/>
      <w:numFmt w:val="lowerLetter"/>
      <w:lvlText w:val="(%1)"/>
      <w:lvlJc w:val="left"/>
      <w:pPr>
        <w:ind w:left="1647" w:hanging="567"/>
      </w:pPr>
      <w:rPr>
        <w:rFonts w:cs="Times New Roman"/>
      </w:rPr>
    </w:lvl>
    <w:lvl w:ilvl="1" w:tplc="0C090019" w:tentative="1">
      <w:start w:val="1"/>
      <w:numFmt w:val="lowerLetter"/>
      <w:lvlText w:val="%2."/>
      <w:lvlJc w:val="left"/>
      <w:pPr>
        <w:ind w:left="1953" w:hanging="360"/>
      </w:pPr>
    </w:lvl>
    <w:lvl w:ilvl="2" w:tplc="0C09001B" w:tentative="1">
      <w:start w:val="1"/>
      <w:numFmt w:val="lowerRoman"/>
      <w:lvlText w:val="%3."/>
      <w:lvlJc w:val="right"/>
      <w:pPr>
        <w:ind w:left="2673" w:hanging="180"/>
      </w:pPr>
    </w:lvl>
    <w:lvl w:ilvl="3" w:tplc="0C09000F" w:tentative="1">
      <w:start w:val="1"/>
      <w:numFmt w:val="decimal"/>
      <w:lvlText w:val="%4."/>
      <w:lvlJc w:val="left"/>
      <w:pPr>
        <w:ind w:left="3393" w:hanging="360"/>
      </w:pPr>
    </w:lvl>
    <w:lvl w:ilvl="4" w:tplc="0C090019" w:tentative="1">
      <w:start w:val="1"/>
      <w:numFmt w:val="lowerLetter"/>
      <w:lvlText w:val="%5."/>
      <w:lvlJc w:val="left"/>
      <w:pPr>
        <w:ind w:left="4113" w:hanging="360"/>
      </w:pPr>
    </w:lvl>
    <w:lvl w:ilvl="5" w:tplc="0C09001B" w:tentative="1">
      <w:start w:val="1"/>
      <w:numFmt w:val="lowerRoman"/>
      <w:lvlText w:val="%6."/>
      <w:lvlJc w:val="right"/>
      <w:pPr>
        <w:ind w:left="4833" w:hanging="180"/>
      </w:pPr>
    </w:lvl>
    <w:lvl w:ilvl="6" w:tplc="0C09000F" w:tentative="1">
      <w:start w:val="1"/>
      <w:numFmt w:val="decimal"/>
      <w:lvlText w:val="%7."/>
      <w:lvlJc w:val="left"/>
      <w:pPr>
        <w:ind w:left="5553" w:hanging="360"/>
      </w:pPr>
    </w:lvl>
    <w:lvl w:ilvl="7" w:tplc="0C090019" w:tentative="1">
      <w:start w:val="1"/>
      <w:numFmt w:val="lowerLetter"/>
      <w:lvlText w:val="%8."/>
      <w:lvlJc w:val="left"/>
      <w:pPr>
        <w:ind w:left="6273" w:hanging="360"/>
      </w:pPr>
    </w:lvl>
    <w:lvl w:ilvl="8" w:tplc="0C09001B" w:tentative="1">
      <w:start w:val="1"/>
      <w:numFmt w:val="lowerRoman"/>
      <w:lvlText w:val="%9."/>
      <w:lvlJc w:val="right"/>
      <w:pPr>
        <w:ind w:left="6993" w:hanging="180"/>
      </w:pPr>
    </w:lvl>
  </w:abstractNum>
  <w:abstractNum w:abstractNumId="19">
    <w:nsid w:val="7CD558F9"/>
    <w:multiLevelType w:val="hybridMultilevel"/>
    <w:tmpl w:val="29C852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0"/>
  </w:num>
  <w:num w:numId="2">
    <w:abstractNumId w:val="8"/>
  </w:num>
  <w:num w:numId="3">
    <w:abstractNumId w:val="3"/>
  </w:num>
  <w:num w:numId="4">
    <w:abstractNumId w:val="13"/>
  </w:num>
  <w:num w:numId="5">
    <w:abstractNumId w:val="5"/>
  </w:num>
  <w:num w:numId="6">
    <w:abstractNumId w:val="4"/>
  </w:num>
  <w:num w:numId="7">
    <w:abstractNumId w:val="17"/>
  </w:num>
  <w:num w:numId="8">
    <w:abstractNumId w:val="6"/>
  </w:num>
  <w:num w:numId="9">
    <w:abstractNumId w:val="14"/>
    <w:lvlOverride w:ilvl="0"/>
    <w:lvlOverride w:ilvl="1">
      <w:startOverride w:val="1"/>
    </w:lvlOverride>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12"/>
  </w:num>
  <w:num w:numId="14">
    <w:abstractNumId w:val="1"/>
  </w:num>
  <w:num w:numId="15">
    <w:abstractNumId w:val="15"/>
  </w:num>
  <w:num w:numId="16">
    <w:abstractNumId w:val="18"/>
  </w:num>
  <w:num w:numId="17">
    <w:abstractNumId w:val="0"/>
  </w:num>
  <w:num w:numId="18">
    <w:abstractNumId w:val="11"/>
  </w:num>
  <w:num w:numId="19">
    <w:abstractNumId w:val="1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4C93"/>
    <w:rsid w:val="00015F12"/>
    <w:rsid w:val="00031852"/>
    <w:rsid w:val="00034655"/>
    <w:rsid w:val="00041E9F"/>
    <w:rsid w:val="000422F5"/>
    <w:rsid w:val="0004740D"/>
    <w:rsid w:val="000476BB"/>
    <w:rsid w:val="00050E15"/>
    <w:rsid w:val="00051F2C"/>
    <w:rsid w:val="00054C93"/>
    <w:rsid w:val="00056AA9"/>
    <w:rsid w:val="00060A95"/>
    <w:rsid w:val="0006282C"/>
    <w:rsid w:val="00063624"/>
    <w:rsid w:val="0006392D"/>
    <w:rsid w:val="00063CD8"/>
    <w:rsid w:val="00064187"/>
    <w:rsid w:val="00070BD1"/>
    <w:rsid w:val="00077C48"/>
    <w:rsid w:val="00085E19"/>
    <w:rsid w:val="00095178"/>
    <w:rsid w:val="000A1E1C"/>
    <w:rsid w:val="000A3EED"/>
    <w:rsid w:val="000A5AA1"/>
    <w:rsid w:val="000B1201"/>
    <w:rsid w:val="000B1203"/>
    <w:rsid w:val="000B19F2"/>
    <w:rsid w:val="000C3435"/>
    <w:rsid w:val="000C6E6B"/>
    <w:rsid w:val="000E1734"/>
    <w:rsid w:val="000E7D00"/>
    <w:rsid w:val="000F332E"/>
    <w:rsid w:val="000F3A3A"/>
    <w:rsid w:val="000F7039"/>
    <w:rsid w:val="00102483"/>
    <w:rsid w:val="00102B65"/>
    <w:rsid w:val="001045F4"/>
    <w:rsid w:val="00104751"/>
    <w:rsid w:val="00105C76"/>
    <w:rsid w:val="001178F1"/>
    <w:rsid w:val="00120043"/>
    <w:rsid w:val="00125A53"/>
    <w:rsid w:val="00127827"/>
    <w:rsid w:val="00135C27"/>
    <w:rsid w:val="001373AC"/>
    <w:rsid w:val="001408CF"/>
    <w:rsid w:val="00142C3D"/>
    <w:rsid w:val="00157FAF"/>
    <w:rsid w:val="001614A1"/>
    <w:rsid w:val="00163AD1"/>
    <w:rsid w:val="00172777"/>
    <w:rsid w:val="00172E48"/>
    <w:rsid w:val="00174075"/>
    <w:rsid w:val="00182FA1"/>
    <w:rsid w:val="001873A1"/>
    <w:rsid w:val="00196F24"/>
    <w:rsid w:val="00197EB6"/>
    <w:rsid w:val="001B6E4E"/>
    <w:rsid w:val="001B7293"/>
    <w:rsid w:val="001B7C4E"/>
    <w:rsid w:val="001C0C5A"/>
    <w:rsid w:val="001C58AF"/>
    <w:rsid w:val="001D219D"/>
    <w:rsid w:val="001D6312"/>
    <w:rsid w:val="001E01CF"/>
    <w:rsid w:val="001F2A4D"/>
    <w:rsid w:val="00205B33"/>
    <w:rsid w:val="00206757"/>
    <w:rsid w:val="00207344"/>
    <w:rsid w:val="00210F6B"/>
    <w:rsid w:val="00211BF7"/>
    <w:rsid w:val="00215D75"/>
    <w:rsid w:val="002256A3"/>
    <w:rsid w:val="00232916"/>
    <w:rsid w:val="00234109"/>
    <w:rsid w:val="00251FC7"/>
    <w:rsid w:val="00257F82"/>
    <w:rsid w:val="00262D21"/>
    <w:rsid w:val="00270714"/>
    <w:rsid w:val="002712FD"/>
    <w:rsid w:val="00277203"/>
    <w:rsid w:val="002852CE"/>
    <w:rsid w:val="002912B5"/>
    <w:rsid w:val="00295C77"/>
    <w:rsid w:val="002A2DCC"/>
    <w:rsid w:val="002A4C53"/>
    <w:rsid w:val="002B2A74"/>
    <w:rsid w:val="002B68FF"/>
    <w:rsid w:val="002C09E0"/>
    <w:rsid w:val="002C1A61"/>
    <w:rsid w:val="002C50E6"/>
    <w:rsid w:val="002E182E"/>
    <w:rsid w:val="002E6781"/>
    <w:rsid w:val="002E712E"/>
    <w:rsid w:val="002F2FEA"/>
    <w:rsid w:val="00320C4B"/>
    <w:rsid w:val="0032265F"/>
    <w:rsid w:val="00325ED8"/>
    <w:rsid w:val="00331C63"/>
    <w:rsid w:val="00337621"/>
    <w:rsid w:val="00347C2E"/>
    <w:rsid w:val="0036299A"/>
    <w:rsid w:val="00363668"/>
    <w:rsid w:val="00364018"/>
    <w:rsid w:val="00366840"/>
    <w:rsid w:val="00370247"/>
    <w:rsid w:val="003710AB"/>
    <w:rsid w:val="00372355"/>
    <w:rsid w:val="003725A0"/>
    <w:rsid w:val="00380D1D"/>
    <w:rsid w:val="00383EAA"/>
    <w:rsid w:val="00390CCC"/>
    <w:rsid w:val="00395B06"/>
    <w:rsid w:val="00395B0A"/>
    <w:rsid w:val="003A0B11"/>
    <w:rsid w:val="003A60A3"/>
    <w:rsid w:val="003A776A"/>
    <w:rsid w:val="003B34B4"/>
    <w:rsid w:val="003B410E"/>
    <w:rsid w:val="003B7816"/>
    <w:rsid w:val="003C2267"/>
    <w:rsid w:val="003D3BE3"/>
    <w:rsid w:val="003D3C03"/>
    <w:rsid w:val="003D5032"/>
    <w:rsid w:val="003D59BD"/>
    <w:rsid w:val="003E3290"/>
    <w:rsid w:val="00415203"/>
    <w:rsid w:val="004232B9"/>
    <w:rsid w:val="00425D6F"/>
    <w:rsid w:val="0043082A"/>
    <w:rsid w:val="00433159"/>
    <w:rsid w:val="0044401C"/>
    <w:rsid w:val="00444307"/>
    <w:rsid w:val="004560C6"/>
    <w:rsid w:val="00457B2E"/>
    <w:rsid w:val="00461E7E"/>
    <w:rsid w:val="004621AC"/>
    <w:rsid w:val="004648E2"/>
    <w:rsid w:val="00467C80"/>
    <w:rsid w:val="00467F06"/>
    <w:rsid w:val="00476587"/>
    <w:rsid w:val="004768F9"/>
    <w:rsid w:val="00476C7B"/>
    <w:rsid w:val="004840E2"/>
    <w:rsid w:val="00486564"/>
    <w:rsid w:val="0049015D"/>
    <w:rsid w:val="00492EC2"/>
    <w:rsid w:val="00497FDE"/>
    <w:rsid w:val="004A0881"/>
    <w:rsid w:val="004A1685"/>
    <w:rsid w:val="004A6540"/>
    <w:rsid w:val="004A6C0B"/>
    <w:rsid w:val="004B147F"/>
    <w:rsid w:val="004B1E86"/>
    <w:rsid w:val="004B5898"/>
    <w:rsid w:val="004B69B4"/>
    <w:rsid w:val="004C0DF2"/>
    <w:rsid w:val="004C3D07"/>
    <w:rsid w:val="004D0455"/>
    <w:rsid w:val="004D2E5B"/>
    <w:rsid w:val="004D45D0"/>
    <w:rsid w:val="004E7A98"/>
    <w:rsid w:val="004F0699"/>
    <w:rsid w:val="004F1246"/>
    <w:rsid w:val="004F538A"/>
    <w:rsid w:val="004F698D"/>
    <w:rsid w:val="00503D3B"/>
    <w:rsid w:val="00503F7E"/>
    <w:rsid w:val="00505882"/>
    <w:rsid w:val="0050671E"/>
    <w:rsid w:val="00510632"/>
    <w:rsid w:val="0051406B"/>
    <w:rsid w:val="0051527D"/>
    <w:rsid w:val="005216BE"/>
    <w:rsid w:val="005220B4"/>
    <w:rsid w:val="00526EBC"/>
    <w:rsid w:val="00535574"/>
    <w:rsid w:val="005358E1"/>
    <w:rsid w:val="00535FA5"/>
    <w:rsid w:val="00537A1D"/>
    <w:rsid w:val="00537C08"/>
    <w:rsid w:val="00542764"/>
    <w:rsid w:val="005453C2"/>
    <w:rsid w:val="005474BE"/>
    <w:rsid w:val="00553325"/>
    <w:rsid w:val="005567C1"/>
    <w:rsid w:val="0056615B"/>
    <w:rsid w:val="005752FE"/>
    <w:rsid w:val="00580807"/>
    <w:rsid w:val="00580AAF"/>
    <w:rsid w:val="005811B8"/>
    <w:rsid w:val="0058220C"/>
    <w:rsid w:val="00587F57"/>
    <w:rsid w:val="00590C69"/>
    <w:rsid w:val="00591F60"/>
    <w:rsid w:val="00596E1D"/>
    <w:rsid w:val="005B0524"/>
    <w:rsid w:val="005B1AD8"/>
    <w:rsid w:val="005B4758"/>
    <w:rsid w:val="005D0CD3"/>
    <w:rsid w:val="005D11D4"/>
    <w:rsid w:val="005D5FD3"/>
    <w:rsid w:val="005E5910"/>
    <w:rsid w:val="005E63CE"/>
    <w:rsid w:val="005E74D0"/>
    <w:rsid w:val="005F3F93"/>
    <w:rsid w:val="005F76C6"/>
    <w:rsid w:val="006019DB"/>
    <w:rsid w:val="00605125"/>
    <w:rsid w:val="0061014D"/>
    <w:rsid w:val="006121C9"/>
    <w:rsid w:val="00617E08"/>
    <w:rsid w:val="00622480"/>
    <w:rsid w:val="00632F31"/>
    <w:rsid w:val="00636135"/>
    <w:rsid w:val="0064506F"/>
    <w:rsid w:val="00647422"/>
    <w:rsid w:val="00647D58"/>
    <w:rsid w:val="00661B36"/>
    <w:rsid w:val="0067566A"/>
    <w:rsid w:val="006812C5"/>
    <w:rsid w:val="00684F73"/>
    <w:rsid w:val="00690B6D"/>
    <w:rsid w:val="00694580"/>
    <w:rsid w:val="0069563E"/>
    <w:rsid w:val="006C7FA7"/>
    <w:rsid w:val="006D585E"/>
    <w:rsid w:val="006D6888"/>
    <w:rsid w:val="006D71AE"/>
    <w:rsid w:val="006D73D4"/>
    <w:rsid w:val="006D73E0"/>
    <w:rsid w:val="006E40A0"/>
    <w:rsid w:val="006F15D9"/>
    <w:rsid w:val="006F172D"/>
    <w:rsid w:val="007013CF"/>
    <w:rsid w:val="007031F4"/>
    <w:rsid w:val="0071598D"/>
    <w:rsid w:val="00745A24"/>
    <w:rsid w:val="00747C50"/>
    <w:rsid w:val="007540B3"/>
    <w:rsid w:val="00757633"/>
    <w:rsid w:val="00763254"/>
    <w:rsid w:val="007673A5"/>
    <w:rsid w:val="00775E00"/>
    <w:rsid w:val="0078039A"/>
    <w:rsid w:val="00781021"/>
    <w:rsid w:val="00781334"/>
    <w:rsid w:val="0079429E"/>
    <w:rsid w:val="00794407"/>
    <w:rsid w:val="0079792F"/>
    <w:rsid w:val="007A1411"/>
    <w:rsid w:val="007A37B9"/>
    <w:rsid w:val="007A415C"/>
    <w:rsid w:val="007A4646"/>
    <w:rsid w:val="007C006E"/>
    <w:rsid w:val="007D25B3"/>
    <w:rsid w:val="007E673D"/>
    <w:rsid w:val="007F12EA"/>
    <w:rsid w:val="0080011C"/>
    <w:rsid w:val="008040B6"/>
    <w:rsid w:val="0081430D"/>
    <w:rsid w:val="008146E3"/>
    <w:rsid w:val="00816476"/>
    <w:rsid w:val="00832D36"/>
    <w:rsid w:val="00834481"/>
    <w:rsid w:val="00836541"/>
    <w:rsid w:val="00842639"/>
    <w:rsid w:val="00846E57"/>
    <w:rsid w:val="00851C4B"/>
    <w:rsid w:val="0085521D"/>
    <w:rsid w:val="008569C5"/>
    <w:rsid w:val="008612F9"/>
    <w:rsid w:val="00862C4F"/>
    <w:rsid w:val="00863F58"/>
    <w:rsid w:val="008645EA"/>
    <w:rsid w:val="0086597C"/>
    <w:rsid w:val="008825AD"/>
    <w:rsid w:val="00883B76"/>
    <w:rsid w:val="00884117"/>
    <w:rsid w:val="00884B32"/>
    <w:rsid w:val="00886348"/>
    <w:rsid w:val="00890B3B"/>
    <w:rsid w:val="0089788A"/>
    <w:rsid w:val="008A1124"/>
    <w:rsid w:val="008A2486"/>
    <w:rsid w:val="008A2515"/>
    <w:rsid w:val="008A5FA0"/>
    <w:rsid w:val="008B1480"/>
    <w:rsid w:val="008C1492"/>
    <w:rsid w:val="008C6C81"/>
    <w:rsid w:val="008C7868"/>
    <w:rsid w:val="008D04FE"/>
    <w:rsid w:val="008D51E2"/>
    <w:rsid w:val="008E1331"/>
    <w:rsid w:val="008F1E3F"/>
    <w:rsid w:val="008F31E0"/>
    <w:rsid w:val="008F3BFE"/>
    <w:rsid w:val="008F5843"/>
    <w:rsid w:val="008F604A"/>
    <w:rsid w:val="00903BB8"/>
    <w:rsid w:val="00914DAB"/>
    <w:rsid w:val="009179A3"/>
    <w:rsid w:val="009225C0"/>
    <w:rsid w:val="00923C2A"/>
    <w:rsid w:val="009405C3"/>
    <w:rsid w:val="00941EBA"/>
    <w:rsid w:val="00942AC3"/>
    <w:rsid w:val="0095185A"/>
    <w:rsid w:val="00954F29"/>
    <w:rsid w:val="00962C2D"/>
    <w:rsid w:val="00964927"/>
    <w:rsid w:val="00970DFD"/>
    <w:rsid w:val="00972004"/>
    <w:rsid w:val="00985C34"/>
    <w:rsid w:val="00993F51"/>
    <w:rsid w:val="00997228"/>
    <w:rsid w:val="0099778F"/>
    <w:rsid w:val="009A18C3"/>
    <w:rsid w:val="009B1145"/>
    <w:rsid w:val="009B23F0"/>
    <w:rsid w:val="009B26D3"/>
    <w:rsid w:val="009B7296"/>
    <w:rsid w:val="009C0F15"/>
    <w:rsid w:val="009C5368"/>
    <w:rsid w:val="009D5516"/>
    <w:rsid w:val="009D6C1F"/>
    <w:rsid w:val="009E06E2"/>
    <w:rsid w:val="009E27EC"/>
    <w:rsid w:val="009E7933"/>
    <w:rsid w:val="00A015B8"/>
    <w:rsid w:val="00A02FBD"/>
    <w:rsid w:val="00A0529E"/>
    <w:rsid w:val="00A05408"/>
    <w:rsid w:val="00A13BB0"/>
    <w:rsid w:val="00A16C05"/>
    <w:rsid w:val="00A447F4"/>
    <w:rsid w:val="00A45A29"/>
    <w:rsid w:val="00A4658E"/>
    <w:rsid w:val="00A51557"/>
    <w:rsid w:val="00A54FBB"/>
    <w:rsid w:val="00A55BF6"/>
    <w:rsid w:val="00A57C84"/>
    <w:rsid w:val="00A6194D"/>
    <w:rsid w:val="00A63A2B"/>
    <w:rsid w:val="00A63ECC"/>
    <w:rsid w:val="00A71419"/>
    <w:rsid w:val="00A829F6"/>
    <w:rsid w:val="00A86D3C"/>
    <w:rsid w:val="00A933BB"/>
    <w:rsid w:val="00A94CE9"/>
    <w:rsid w:val="00AA3052"/>
    <w:rsid w:val="00AA4627"/>
    <w:rsid w:val="00AA6C7C"/>
    <w:rsid w:val="00AB1230"/>
    <w:rsid w:val="00AC16E5"/>
    <w:rsid w:val="00AC1FE4"/>
    <w:rsid w:val="00AC2517"/>
    <w:rsid w:val="00AC329F"/>
    <w:rsid w:val="00AF023E"/>
    <w:rsid w:val="00AF2104"/>
    <w:rsid w:val="00AF57E1"/>
    <w:rsid w:val="00B025C2"/>
    <w:rsid w:val="00B044BA"/>
    <w:rsid w:val="00B04B20"/>
    <w:rsid w:val="00B110BF"/>
    <w:rsid w:val="00B265B6"/>
    <w:rsid w:val="00B26F03"/>
    <w:rsid w:val="00B315E6"/>
    <w:rsid w:val="00B32956"/>
    <w:rsid w:val="00B37124"/>
    <w:rsid w:val="00B5302B"/>
    <w:rsid w:val="00B7587D"/>
    <w:rsid w:val="00B76154"/>
    <w:rsid w:val="00B87E9D"/>
    <w:rsid w:val="00B9225D"/>
    <w:rsid w:val="00BA0D18"/>
    <w:rsid w:val="00BB1E53"/>
    <w:rsid w:val="00BC188E"/>
    <w:rsid w:val="00BC4759"/>
    <w:rsid w:val="00BE14E8"/>
    <w:rsid w:val="00BE1AAC"/>
    <w:rsid w:val="00BE44EB"/>
    <w:rsid w:val="00BF7AD5"/>
    <w:rsid w:val="00C001B9"/>
    <w:rsid w:val="00C0575E"/>
    <w:rsid w:val="00C15685"/>
    <w:rsid w:val="00C20C9D"/>
    <w:rsid w:val="00C222E6"/>
    <w:rsid w:val="00C251D6"/>
    <w:rsid w:val="00C302FA"/>
    <w:rsid w:val="00C35BDE"/>
    <w:rsid w:val="00C46311"/>
    <w:rsid w:val="00C4680F"/>
    <w:rsid w:val="00C52FE2"/>
    <w:rsid w:val="00C54801"/>
    <w:rsid w:val="00C57E92"/>
    <w:rsid w:val="00C608D3"/>
    <w:rsid w:val="00C66213"/>
    <w:rsid w:val="00C66900"/>
    <w:rsid w:val="00C71754"/>
    <w:rsid w:val="00C75064"/>
    <w:rsid w:val="00C75258"/>
    <w:rsid w:val="00C77ED3"/>
    <w:rsid w:val="00C86004"/>
    <w:rsid w:val="00C9127C"/>
    <w:rsid w:val="00C93F6A"/>
    <w:rsid w:val="00C94AEF"/>
    <w:rsid w:val="00C94C2A"/>
    <w:rsid w:val="00CA32BA"/>
    <w:rsid w:val="00CA5DEE"/>
    <w:rsid w:val="00CA5EF4"/>
    <w:rsid w:val="00CA6048"/>
    <w:rsid w:val="00CA628A"/>
    <w:rsid w:val="00CA6CB3"/>
    <w:rsid w:val="00CB235F"/>
    <w:rsid w:val="00CB4CFB"/>
    <w:rsid w:val="00CC269D"/>
    <w:rsid w:val="00CC71FC"/>
    <w:rsid w:val="00CD0A39"/>
    <w:rsid w:val="00CD4E2A"/>
    <w:rsid w:val="00CD5C6F"/>
    <w:rsid w:val="00CF04C3"/>
    <w:rsid w:val="00D05E09"/>
    <w:rsid w:val="00D06E30"/>
    <w:rsid w:val="00D15571"/>
    <w:rsid w:val="00D236B0"/>
    <w:rsid w:val="00D25DAE"/>
    <w:rsid w:val="00D27B93"/>
    <w:rsid w:val="00D30453"/>
    <w:rsid w:val="00D34354"/>
    <w:rsid w:val="00D4648C"/>
    <w:rsid w:val="00D53984"/>
    <w:rsid w:val="00D55339"/>
    <w:rsid w:val="00D5538D"/>
    <w:rsid w:val="00D56520"/>
    <w:rsid w:val="00D6141B"/>
    <w:rsid w:val="00D64906"/>
    <w:rsid w:val="00D8022B"/>
    <w:rsid w:val="00D83EE8"/>
    <w:rsid w:val="00D8539D"/>
    <w:rsid w:val="00DA14B1"/>
    <w:rsid w:val="00DA276B"/>
    <w:rsid w:val="00DA4133"/>
    <w:rsid w:val="00DA604A"/>
    <w:rsid w:val="00DB2B19"/>
    <w:rsid w:val="00DB33DA"/>
    <w:rsid w:val="00DB4869"/>
    <w:rsid w:val="00DB7844"/>
    <w:rsid w:val="00DC048F"/>
    <w:rsid w:val="00DC061C"/>
    <w:rsid w:val="00DC175A"/>
    <w:rsid w:val="00DC3BAB"/>
    <w:rsid w:val="00DD6368"/>
    <w:rsid w:val="00DE1520"/>
    <w:rsid w:val="00DE2FB4"/>
    <w:rsid w:val="00DE455F"/>
    <w:rsid w:val="00DE4923"/>
    <w:rsid w:val="00DF4397"/>
    <w:rsid w:val="00DF6B28"/>
    <w:rsid w:val="00E01352"/>
    <w:rsid w:val="00E05CC7"/>
    <w:rsid w:val="00E14760"/>
    <w:rsid w:val="00E15497"/>
    <w:rsid w:val="00E201A8"/>
    <w:rsid w:val="00E20668"/>
    <w:rsid w:val="00E2158A"/>
    <w:rsid w:val="00E22FF6"/>
    <w:rsid w:val="00E34DF4"/>
    <w:rsid w:val="00E4526B"/>
    <w:rsid w:val="00E47599"/>
    <w:rsid w:val="00E47CA8"/>
    <w:rsid w:val="00E56C5B"/>
    <w:rsid w:val="00E60ED3"/>
    <w:rsid w:val="00E73CF6"/>
    <w:rsid w:val="00E90C89"/>
    <w:rsid w:val="00E9274C"/>
    <w:rsid w:val="00E95322"/>
    <w:rsid w:val="00EA44DB"/>
    <w:rsid w:val="00EA6460"/>
    <w:rsid w:val="00EB7A05"/>
    <w:rsid w:val="00EC5653"/>
    <w:rsid w:val="00ED7E63"/>
    <w:rsid w:val="00EE7195"/>
    <w:rsid w:val="00EE76C0"/>
    <w:rsid w:val="00EF1C05"/>
    <w:rsid w:val="00EF5C68"/>
    <w:rsid w:val="00EF6D09"/>
    <w:rsid w:val="00EF7F75"/>
    <w:rsid w:val="00F02685"/>
    <w:rsid w:val="00F0384B"/>
    <w:rsid w:val="00F11676"/>
    <w:rsid w:val="00F242BE"/>
    <w:rsid w:val="00F4321B"/>
    <w:rsid w:val="00F45AA4"/>
    <w:rsid w:val="00F4681F"/>
    <w:rsid w:val="00F47CF5"/>
    <w:rsid w:val="00F54D1D"/>
    <w:rsid w:val="00F550A9"/>
    <w:rsid w:val="00F556C1"/>
    <w:rsid w:val="00F55F9B"/>
    <w:rsid w:val="00F56917"/>
    <w:rsid w:val="00F72D63"/>
    <w:rsid w:val="00F7706D"/>
    <w:rsid w:val="00F85FB7"/>
    <w:rsid w:val="00F9000F"/>
    <w:rsid w:val="00F96C99"/>
    <w:rsid w:val="00F97FDA"/>
    <w:rsid w:val="00FA3781"/>
    <w:rsid w:val="00FA5345"/>
    <w:rsid w:val="00FA6B1D"/>
    <w:rsid w:val="00FB44B1"/>
    <w:rsid w:val="00FB4DAE"/>
    <w:rsid w:val="00FB50BB"/>
    <w:rsid w:val="00FC4055"/>
    <w:rsid w:val="00FC4AAF"/>
    <w:rsid w:val="00FC5DF7"/>
    <w:rsid w:val="00FD1D43"/>
    <w:rsid w:val="00FE1601"/>
    <w:rsid w:val="00FE5ED5"/>
    <w:rsid w:val="00FF019C"/>
    <w:rsid w:val="00FF047F"/>
    <w:rsid w:val="00FF4748"/>
    <w:rsid w:val="00FF509D"/>
    <w:rsid w:val="00FF5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6" w:qFormat="1"/>
    <w:lsdException w:name="heading 3" w:uiPriority="7" w:qFormat="1"/>
    <w:lsdException w:name="heading 4" w:uiPriority="3" w:qFormat="1"/>
    <w:lsdException w:name="heading 5" w:uiPriority="4" w:qFormat="1"/>
    <w:lsdException w:name="heading 6" w:uiPriority="8"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054C93"/>
    <w:pPr>
      <w:tabs>
        <w:tab w:val="center" w:pos="4513"/>
        <w:tab w:val="right" w:pos="9026"/>
      </w:tabs>
    </w:pPr>
    <w:rPr>
      <w:sz w:val="20"/>
      <w:szCs w:val="20"/>
      <w:lang w:val="x-none" w:eastAsia="x-none"/>
    </w:rPr>
  </w:style>
  <w:style w:type="character" w:customStyle="1" w:styleId="HeaderChar">
    <w:name w:val="Header Char"/>
    <w:link w:val="Header"/>
    <w:uiPriority w:val="99"/>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qFormat/>
    <w:rsid w:val="00F4321B"/>
    <w:pPr>
      <w:ind w:left="720"/>
    </w:pPr>
  </w:style>
  <w:style w:type="character" w:styleId="CommentReference">
    <w:name w:val="annotation reference"/>
    <w:uiPriority w:val="99"/>
    <w:semiHidden/>
    <w:unhideWhenUsed/>
    <w:rsid w:val="00054C93"/>
    <w:rPr>
      <w:sz w:val="16"/>
      <w:szCs w:val="16"/>
    </w:rPr>
  </w:style>
  <w:style w:type="paragraph" w:styleId="CommentText">
    <w:name w:val="annotation text"/>
    <w:basedOn w:val="Normal"/>
    <w:link w:val="CommentTextChar"/>
    <w:uiPriority w:val="99"/>
    <w:semiHidden/>
    <w:unhideWhenUsed/>
    <w:rsid w:val="00054C93"/>
    <w:rPr>
      <w:sz w:val="20"/>
      <w:szCs w:val="20"/>
      <w:lang w:val="x-none" w:eastAsia="x-none"/>
    </w:rPr>
  </w:style>
  <w:style w:type="character" w:customStyle="1" w:styleId="CommentTextChar">
    <w:name w:val="Comment Text Char"/>
    <w:link w:val="CommentText"/>
    <w:uiPriority w:val="99"/>
    <w:semiHidden/>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5FB7"/>
    <w:rPr>
      <w:rFonts w:ascii="Trebuchet MS" w:hAnsi="Trebuchet MS"/>
      <w:sz w:val="22"/>
      <w:szCs w:val="22"/>
      <w:lang w:eastAsia="en-US"/>
    </w:rPr>
  </w:style>
  <w:style w:type="paragraph" w:styleId="FootnoteText">
    <w:name w:val="footnote text"/>
    <w:basedOn w:val="Normal"/>
    <w:link w:val="FootnoteTextChar"/>
    <w:uiPriority w:val="99"/>
    <w:unhideWhenUsed/>
    <w:rsid w:val="00325ED8"/>
    <w:pPr>
      <w:spacing w:before="240" w:after="60"/>
    </w:pPr>
    <w:rPr>
      <w:rFonts w:eastAsia="Times"/>
      <w:sz w:val="20"/>
      <w:szCs w:val="20"/>
      <w:lang w:val="x-none"/>
    </w:rPr>
  </w:style>
  <w:style w:type="character" w:customStyle="1" w:styleId="FootnoteTextChar">
    <w:name w:val="Footnote Text Char"/>
    <w:link w:val="FootnoteText"/>
    <w:uiPriority w:val="99"/>
    <w:rsid w:val="00325ED8"/>
    <w:rPr>
      <w:rFonts w:ascii="Trebuchet MS" w:eastAsia="Times" w:hAnsi="Trebuchet MS"/>
      <w:lang w:val="x-none" w:eastAsia="en-US"/>
    </w:rPr>
  </w:style>
  <w:style w:type="character" w:styleId="FootnoteReference">
    <w:name w:val="footnote reference"/>
    <w:uiPriority w:val="99"/>
    <w:unhideWhenUsed/>
    <w:rsid w:val="00325ED8"/>
    <w:rPr>
      <w:vertAlign w:val="superscript"/>
    </w:rPr>
  </w:style>
  <w:style w:type="character" w:styleId="Hyperlink">
    <w:name w:val="Hyperlink"/>
    <w:uiPriority w:val="99"/>
    <w:unhideWhenUsed/>
    <w:rsid w:val="00CD0A39"/>
    <w:rPr>
      <w:rFonts w:ascii="Times New Roman" w:hAnsi="Times New Roman" w:cs="Times New Roman" w:hint="default"/>
      <w:color w:val="0000FF"/>
      <w:u w:val="single"/>
    </w:rPr>
  </w:style>
  <w:style w:type="paragraph" w:customStyle="1" w:styleId="Default">
    <w:name w:val="Default"/>
    <w:rsid w:val="00CD0A39"/>
    <w:pPr>
      <w:autoSpaceDE w:val="0"/>
      <w:autoSpaceDN w:val="0"/>
      <w:adjustRightInd w:val="0"/>
    </w:pPr>
    <w:rPr>
      <w:rFonts w:ascii="Arial" w:eastAsia="Times New Roman"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6" w:qFormat="1"/>
    <w:lsdException w:name="heading 3" w:uiPriority="7" w:qFormat="1"/>
    <w:lsdException w:name="heading 4" w:uiPriority="3" w:qFormat="1"/>
    <w:lsdException w:name="heading 5" w:uiPriority="4" w:qFormat="1"/>
    <w:lsdException w:name="heading 6" w:uiPriority="8"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054C93"/>
    <w:pPr>
      <w:tabs>
        <w:tab w:val="center" w:pos="4513"/>
        <w:tab w:val="right" w:pos="9026"/>
      </w:tabs>
    </w:pPr>
    <w:rPr>
      <w:sz w:val="20"/>
      <w:szCs w:val="20"/>
      <w:lang w:val="x-none" w:eastAsia="x-none"/>
    </w:rPr>
  </w:style>
  <w:style w:type="character" w:customStyle="1" w:styleId="HeaderChar">
    <w:name w:val="Header Char"/>
    <w:link w:val="Header"/>
    <w:uiPriority w:val="99"/>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qFormat/>
    <w:rsid w:val="00F4321B"/>
    <w:pPr>
      <w:ind w:left="720"/>
    </w:pPr>
  </w:style>
  <w:style w:type="character" w:styleId="CommentReference">
    <w:name w:val="annotation reference"/>
    <w:uiPriority w:val="99"/>
    <w:semiHidden/>
    <w:unhideWhenUsed/>
    <w:rsid w:val="00054C93"/>
    <w:rPr>
      <w:sz w:val="16"/>
      <w:szCs w:val="16"/>
    </w:rPr>
  </w:style>
  <w:style w:type="paragraph" w:styleId="CommentText">
    <w:name w:val="annotation text"/>
    <w:basedOn w:val="Normal"/>
    <w:link w:val="CommentTextChar"/>
    <w:uiPriority w:val="99"/>
    <w:semiHidden/>
    <w:unhideWhenUsed/>
    <w:rsid w:val="00054C93"/>
    <w:rPr>
      <w:sz w:val="20"/>
      <w:szCs w:val="20"/>
      <w:lang w:val="x-none" w:eastAsia="x-none"/>
    </w:rPr>
  </w:style>
  <w:style w:type="character" w:customStyle="1" w:styleId="CommentTextChar">
    <w:name w:val="Comment Text Char"/>
    <w:link w:val="CommentText"/>
    <w:uiPriority w:val="99"/>
    <w:semiHidden/>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5FB7"/>
    <w:rPr>
      <w:rFonts w:ascii="Trebuchet MS" w:hAnsi="Trebuchet MS"/>
      <w:sz w:val="22"/>
      <w:szCs w:val="22"/>
      <w:lang w:eastAsia="en-US"/>
    </w:rPr>
  </w:style>
  <w:style w:type="paragraph" w:styleId="FootnoteText">
    <w:name w:val="footnote text"/>
    <w:basedOn w:val="Normal"/>
    <w:link w:val="FootnoteTextChar"/>
    <w:uiPriority w:val="99"/>
    <w:unhideWhenUsed/>
    <w:rsid w:val="00325ED8"/>
    <w:pPr>
      <w:spacing w:before="240" w:after="60"/>
    </w:pPr>
    <w:rPr>
      <w:rFonts w:eastAsia="Times"/>
      <w:sz w:val="20"/>
      <w:szCs w:val="20"/>
      <w:lang w:val="x-none"/>
    </w:rPr>
  </w:style>
  <w:style w:type="character" w:customStyle="1" w:styleId="FootnoteTextChar">
    <w:name w:val="Footnote Text Char"/>
    <w:link w:val="FootnoteText"/>
    <w:uiPriority w:val="99"/>
    <w:rsid w:val="00325ED8"/>
    <w:rPr>
      <w:rFonts w:ascii="Trebuchet MS" w:eastAsia="Times" w:hAnsi="Trebuchet MS"/>
      <w:lang w:val="x-none" w:eastAsia="en-US"/>
    </w:rPr>
  </w:style>
  <w:style w:type="character" w:styleId="FootnoteReference">
    <w:name w:val="footnote reference"/>
    <w:uiPriority w:val="99"/>
    <w:unhideWhenUsed/>
    <w:rsid w:val="00325ED8"/>
    <w:rPr>
      <w:vertAlign w:val="superscript"/>
    </w:rPr>
  </w:style>
  <w:style w:type="character" w:styleId="Hyperlink">
    <w:name w:val="Hyperlink"/>
    <w:uiPriority w:val="99"/>
    <w:unhideWhenUsed/>
    <w:rsid w:val="00CD0A39"/>
    <w:rPr>
      <w:rFonts w:ascii="Times New Roman" w:hAnsi="Times New Roman" w:cs="Times New Roman" w:hint="default"/>
      <w:color w:val="0000FF"/>
      <w:u w:val="single"/>
    </w:rPr>
  </w:style>
  <w:style w:type="paragraph" w:customStyle="1" w:styleId="Default">
    <w:name w:val="Default"/>
    <w:rsid w:val="00CD0A39"/>
    <w:pPr>
      <w:autoSpaceDE w:val="0"/>
      <w:autoSpaceDN w:val="0"/>
      <w:adjustRightInd w:val="0"/>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532772709">
      <w:bodyDiv w:val="1"/>
      <w:marLeft w:val="0"/>
      <w:marRight w:val="0"/>
      <w:marTop w:val="0"/>
      <w:marBottom w:val="0"/>
      <w:divBdr>
        <w:top w:val="none" w:sz="0" w:space="0" w:color="auto"/>
        <w:left w:val="none" w:sz="0" w:space="0" w:color="auto"/>
        <w:bottom w:val="none" w:sz="0" w:space="0" w:color="auto"/>
        <w:right w:val="none" w:sz="0" w:space="0" w:color="auto"/>
      </w:divBdr>
    </w:div>
    <w:div w:id="533083065">
      <w:bodyDiv w:val="1"/>
      <w:marLeft w:val="0"/>
      <w:marRight w:val="0"/>
      <w:marTop w:val="0"/>
      <w:marBottom w:val="0"/>
      <w:divBdr>
        <w:top w:val="none" w:sz="0" w:space="0" w:color="auto"/>
        <w:left w:val="none" w:sz="0" w:space="0" w:color="auto"/>
        <w:bottom w:val="none" w:sz="0" w:space="0" w:color="auto"/>
        <w:right w:val="none" w:sz="0" w:space="0" w:color="auto"/>
      </w:divBdr>
    </w:div>
    <w:div w:id="902568629">
      <w:bodyDiv w:val="1"/>
      <w:marLeft w:val="0"/>
      <w:marRight w:val="0"/>
      <w:marTop w:val="0"/>
      <w:marBottom w:val="0"/>
      <w:divBdr>
        <w:top w:val="none" w:sz="0" w:space="0" w:color="auto"/>
        <w:left w:val="none" w:sz="0" w:space="0" w:color="auto"/>
        <w:bottom w:val="none" w:sz="0" w:space="0" w:color="auto"/>
        <w:right w:val="none" w:sz="0" w:space="0" w:color="auto"/>
      </w:divBdr>
    </w:div>
    <w:div w:id="1309940829">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404447197">
      <w:bodyDiv w:val="1"/>
      <w:marLeft w:val="0"/>
      <w:marRight w:val="0"/>
      <w:marTop w:val="0"/>
      <w:marBottom w:val="0"/>
      <w:divBdr>
        <w:top w:val="none" w:sz="0" w:space="0" w:color="auto"/>
        <w:left w:val="none" w:sz="0" w:space="0" w:color="auto"/>
        <w:bottom w:val="none" w:sz="0" w:space="0" w:color="auto"/>
        <w:right w:val="none" w:sz="0" w:space="0" w:color="auto"/>
      </w:divBdr>
    </w:div>
    <w:div w:id="1423070407">
      <w:bodyDiv w:val="1"/>
      <w:marLeft w:val="0"/>
      <w:marRight w:val="0"/>
      <w:marTop w:val="0"/>
      <w:marBottom w:val="0"/>
      <w:divBdr>
        <w:top w:val="none" w:sz="0" w:space="0" w:color="auto"/>
        <w:left w:val="none" w:sz="0" w:space="0" w:color="auto"/>
        <w:bottom w:val="none" w:sz="0" w:space="0" w:color="auto"/>
        <w:right w:val="none" w:sz="0" w:space="0" w:color="auto"/>
      </w:divBdr>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rba.gov.au/statistics/hist-exchange-rates/index.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customXml" Target="../customXml/item8.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APRA Document" ma:contentTypeID="0x010100A7DEA46028A35847B739053647F55082004225EBFB4A1681499217373BAB190562" ma:contentTypeVersion="387" ma:contentTypeDescription="" ma:contentTypeScope="" ma:versionID="25a61c2033d1525d62df0a1b0459c301">
  <xsd:schema xmlns:xsd="http://www.w3.org/2001/XMLSchema" xmlns:xs="http://www.w3.org/2001/XMLSchema" xmlns:p="http://schemas.microsoft.com/office/2006/metadata/properties" xmlns:ns1="http://schemas.microsoft.com/sharepoint/v3" xmlns:ns2="dea36d7e-3589-4baa-b639-e3368f131be8" xmlns:ns3="http://schemas.microsoft.com/sharepoint/v3/fields" targetNamespace="http://schemas.microsoft.com/office/2006/metadata/properties" ma:root="true" ma:fieldsID="eda875c9f82ff1749dac744b9f7539a9" ns1:_="" ns2:_="" ns3:_="">
    <xsd:import namespace="http://schemas.microsoft.com/sharepoint/v3"/>
    <xsd:import namespace="dea36d7e-3589-4baa-b639-e3368f131be8"/>
    <xsd:import namespace="http://schemas.microsoft.com/sharepoint/v3/fields"/>
    <xsd:element name="properties">
      <xsd:complexType>
        <xsd:sequence>
          <xsd:element name="documentManagement">
            <xsd:complexType>
              <xsd:all>
                <xsd:element ref="ns1:KpiDescription" minOccurs="0"/>
                <xsd:element ref="ns1:PublishingStartDate" minOccurs="0"/>
                <xsd:element ref="ns1:PublishingExpirationDate" minOccurs="0"/>
                <xsd:element ref="ns2:Approved_x0020_for_x0020_release_x0020_by"/>
                <xsd:element ref="ns2:accessRights" minOccurs="0"/>
                <xsd:element ref="ns1:PublishingContact" minOccurs="0"/>
                <xsd:element ref="ns1:PublishingContactEmail" minOccurs="0"/>
                <xsd:element ref="ns1:PublishingContactName" minOccurs="0"/>
                <xsd:element ref="ns1:PublishingContactPicture" minOccurs="0"/>
                <xsd:element ref="ns1:Language"/>
                <xsd:element ref="ns3:wic_System_Copyright" minOccurs="0"/>
                <xsd:element ref="ns2:j41c5939e6bf42d6bd275be11d209ec0" minOccurs="0"/>
                <xsd:element ref="ns2:TaxCatchAll" minOccurs="0"/>
                <xsd:element ref="ns2:TaxCatchAllLabel" minOccurs="0"/>
                <xsd:element ref="ns2:edc205a5791648d6a434e1e5f0755f93" minOccurs="0"/>
                <xsd:element ref="ns1:RoutingRuleDescription" minOccurs="0"/>
                <xsd:element ref="ns2:Content_x0020_Creat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4" nillable="true" ma:displayName="Description" ma:internalName="KpiDescription">
      <xsd:simpleType>
        <xsd:restriction base="dms:Note"/>
      </xsd:simpleType>
    </xsd:element>
    <xsd:element name="PublishingStartDate" ma:index="5"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PublishingContact" ma:index="10"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1" nillable="true" ma:displayName="Contact E-Mail Address" ma:internalName="PublishingContactEmail">
      <xsd:simpleType>
        <xsd:restriction base="dms:Text">
          <xsd:maxLength value="255"/>
        </xsd:restriction>
      </xsd:simpleType>
    </xsd:element>
    <xsd:element name="PublishingContactName" ma:index="12" nillable="true" ma:displayName="Contact Name" ma:internalName="PublishingContactName">
      <xsd:simpleType>
        <xsd:restriction base="dms:Text">
          <xsd:maxLength value="255"/>
        </xsd:restriction>
      </xsd:simpleType>
    </xsd:element>
    <xsd:element name="PublishingContactPicture" ma:index="13"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Language" ma:index="14"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RoutingRuleDescription" ma:index="25" nillable="true" ma:displayName="Extra"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36d7e-3589-4baa-b639-e3368f131be8" elementFormDefault="qualified">
    <xsd:import namespace="http://schemas.microsoft.com/office/2006/documentManagement/types"/>
    <xsd:import namespace="http://schemas.microsoft.com/office/infopath/2007/PartnerControls"/>
    <xsd:element name="Approved_x0020_for_x0020_release_x0020_by" ma:index="7" ma:displayName="Approved for release by" ma:description="Identify person who has approved this document for public release" ma:list="UserInfo" ma:SharePointGroup="0" ma:internalName="Approved_x0020_for_x0020_release_x0020_by"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ccessRights" ma:index="8" nillable="true" ma:displayName="Access Rights" ma:default="Current" ma:format="Dropdown" ma:internalName="accessRights">
      <xsd:simpleType>
        <xsd:restriction base="dms:Choice">
          <xsd:enumeration value="Current"/>
          <xsd:enumeration value="Archive"/>
          <xsd:enumeration value="Decomission"/>
          <xsd:enumeration value="Draft"/>
        </xsd:restriction>
      </xsd:simpleType>
    </xsd:element>
    <xsd:element name="j41c5939e6bf42d6bd275be11d209ec0" ma:index="17" nillable="true" ma:taxonomy="true" ma:internalName="j41c5939e6bf42d6bd275be11d209ec0" ma:taxonomyFieldName="SubjectOrFunction" ma:displayName="Subject or Function" ma:default="" ma:fieldId="{341c5939-e6bf-42d6-bd27-5be11d209ec0}" ma:taxonomyMulti="true" ma:sspId="4df52341-5fbf-41d0-b3a2-c89512b95f60" ma:termSetId="0ffbbcf8-d0ea-45e6-9a0f-746a7136026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e85a128f-b650-43d5-b795-2fad5cef1d74}" ma:internalName="TaxCatchAll" ma:showField="CatchAllData" ma:web="dea36d7e-3589-4baa-b639-e3368f131be8">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e85a128f-b650-43d5-b795-2fad5cef1d74}" ma:internalName="TaxCatchAllLabel" ma:readOnly="true" ma:showField="CatchAllDataLabel" ma:web="dea36d7e-3589-4baa-b639-e3368f131be8">
      <xsd:complexType>
        <xsd:complexContent>
          <xsd:extension base="dms:MultiChoiceLookup">
            <xsd:sequence>
              <xsd:element name="Value" type="dms:Lookup" maxOccurs="unbounded" minOccurs="0" nillable="true"/>
            </xsd:sequence>
          </xsd:extension>
        </xsd:complexContent>
      </xsd:complexType>
    </xsd:element>
    <xsd:element name="edc205a5791648d6a434e1e5f0755f93" ma:index="22" nillable="true" ma:taxonomy="true" ma:internalName="edc205a5791648d6a434e1e5f0755f93" ma:taxonomyFieldName="DocumentType" ma:displayName="Document Type" ma:default="" ma:fieldId="{edc205a5-7916-48d6-a434-e1e5f0755f93}" ma:taxonomyMulti="true" ma:sspId="4df52341-5fbf-41d0-b3a2-c89512b95f60" ma:termSetId="d073d95a-c5d0-45c6-a2d9-87e163ed51f8" ma:anchorId="00000000-0000-0000-0000-000000000000" ma:open="false" ma:isKeyword="false">
      <xsd:complexType>
        <xsd:sequence>
          <xsd:element ref="pc:Terms" minOccurs="0" maxOccurs="1"/>
        </xsd:sequence>
      </xsd:complexType>
    </xsd:element>
    <xsd:element name="Content_x0020_Create_x0020_Date" ma:index="28" nillable="true" ma:displayName="Content Create Date" ma:format="DateOnly" ma:internalName="Content_x0020_Creat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5"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ma:index="9"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PublishingContactEmail xmlns="http://schemas.microsoft.com/sharepoint/v3" xsi:nil="true"/>
    <KpiDescription xmlns="http://schemas.microsoft.com/sharepoint/v3" xsi:nil="true"/>
    <edc205a5791648d6a434e1e5f0755f93 xmlns="dea36d7e-3589-4baa-b639-e3368f131be8">
      <Terms xmlns="http://schemas.microsoft.com/office/infopath/2007/PartnerControls">
        <TermInfo xmlns="http://schemas.microsoft.com/office/infopath/2007/PartnerControls">
          <TermName xmlns="http://schemas.microsoft.com/office/infopath/2007/PartnerControls">Reporting Standards</TermName>
          <TermId xmlns="http://schemas.microsoft.com/office/infopath/2007/PartnerControls">a0454b65-6d11-4de3-9d27-3de0a182af76</TermId>
        </TermInfo>
      </Terms>
    </edc205a5791648d6a434e1e5f0755f93>
    <TaxCatchAll xmlns="dea36d7e-3589-4baa-b639-e3368f131be8">
      <Value>24314</Value>
      <Value>15101</Value>
    </TaxCatchAll>
    <accessRights xmlns="dea36d7e-3589-4baa-b639-e3368f131be8">Current</accessRights>
    <Content_x0020_Create_x0020_Date xmlns="dea36d7e-3589-4baa-b639-e3368f131be8" xsi:nil="true"/>
    <PublishingExpirationDate xmlns="http://schemas.microsoft.com/sharepoint/v3" xsi:nil="true"/>
    <RoutingRuleDescription xmlns="http://schemas.microsoft.com/sharepoint/v3" xsi:nil="true"/>
    <PublishingContactPicture xmlns="http://schemas.microsoft.com/sharepoint/v3">
      <Url xsi:nil="true"/>
      <Description xsi:nil="true"/>
    </PublishingContactPicture>
    <PublishingStartDate xmlns="http://schemas.microsoft.com/sharepoint/v3" xsi:nil="true"/>
    <Approved_x0020_for_x0020_release_x0020_by xmlns="dea36d7e-3589-4baa-b639-e3368f131be8">
      <UserInfo>
        <DisplayName>Cornwell, Mike</DisplayName>
        <AccountId>430</AccountId>
        <AccountType/>
      </UserInfo>
    </Approved_x0020_for_x0020_release_x0020_by>
    <PublishingContact xmlns="http://schemas.microsoft.com/sharepoint/v3">
      <UserInfo>
        <DisplayName/>
        <AccountId xsi:nil="true"/>
        <AccountType/>
      </UserInfo>
    </PublishingContact>
    <PublishingContactName xmlns="http://schemas.microsoft.com/sharepoint/v3" xsi:nil="true"/>
    <wic_System_Copyright xmlns="http://schemas.microsoft.com/sharepoint/v3/fields" xsi:nil="true"/>
    <j41c5939e6bf42d6bd275be11d209ec0 xmlns="dea36d7e-3589-4baa-b639-e3368f131be8">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950fea4e-836f-4dca-b9f1-3e0a28083014</TermId>
        </TermInfo>
      </Terms>
    </j41c5939e6bf42d6bd275be11d209ec0>
  </documentManagement>
</p:properties>
</file>

<file path=customXml/itemProps1.xml><?xml version="1.0" encoding="utf-8"?>
<ds:datastoreItem xmlns:ds="http://schemas.openxmlformats.org/officeDocument/2006/customXml" ds:itemID="{EAAD9B6C-0DF6-40D7-9854-68165F2B8DD5}"/>
</file>

<file path=customXml/itemProps2.xml><?xml version="1.0" encoding="utf-8"?>
<ds:datastoreItem xmlns:ds="http://schemas.openxmlformats.org/officeDocument/2006/customXml" ds:itemID="{B49A617F-C8D8-4672-92D9-DEA5BDBC6601}"/>
</file>

<file path=customXml/itemProps3.xml><?xml version="1.0" encoding="utf-8"?>
<ds:datastoreItem xmlns:ds="http://schemas.openxmlformats.org/officeDocument/2006/customXml" ds:itemID="{8A61BC52-2F99-4A09-BEAD-E3B3BDA2AE04}"/>
</file>

<file path=customXml/itemProps4.xml><?xml version="1.0" encoding="utf-8"?>
<ds:datastoreItem xmlns:ds="http://schemas.openxmlformats.org/officeDocument/2006/customXml" ds:itemID="{7C075661-5E35-4F0E-978C-F848FAB5F6C0}"/>
</file>

<file path=customXml/itemProps5.xml><?xml version="1.0" encoding="utf-8"?>
<ds:datastoreItem xmlns:ds="http://schemas.openxmlformats.org/officeDocument/2006/customXml" ds:itemID="{AFA8EB7F-8AC6-40E2-AF17-31143A7874C8}"/>
</file>

<file path=customXml/itemProps6.xml><?xml version="1.0" encoding="utf-8"?>
<ds:datastoreItem xmlns:ds="http://schemas.openxmlformats.org/officeDocument/2006/customXml" ds:itemID="{09404096-3144-4D30-911A-61612750FB88}"/>
</file>

<file path=customXml/itemProps7.xml><?xml version="1.0" encoding="utf-8"?>
<ds:datastoreItem xmlns:ds="http://schemas.openxmlformats.org/officeDocument/2006/customXml" ds:itemID="{C8520F4D-5C2F-4B99-999E-D5511EA3CE54}"/>
</file>

<file path=customXml/itemProps8.xml><?xml version="1.0" encoding="utf-8"?>
<ds:datastoreItem xmlns:ds="http://schemas.openxmlformats.org/officeDocument/2006/customXml" ds:itemID="{20566BE2-4858-453A-9A7E-0686E0EAE615}"/>
</file>

<file path=docProps/app.xml><?xml version="1.0" encoding="utf-8"?>
<Properties xmlns="http://schemas.openxmlformats.org/officeDocument/2006/extended-properties" xmlns:vt="http://schemas.openxmlformats.org/officeDocument/2006/docPropsVTypes">
  <Template>Normal.dotm</Template>
  <TotalTime>1</TotalTime>
  <Pages>17</Pages>
  <Words>4785</Words>
  <Characters>27275</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31997</CharactersWithSpaces>
  <SharedDoc>false</SharedDoc>
  <HLinks>
    <vt:vector size="6" baseType="variant">
      <vt:variant>
        <vt:i4>2490401</vt:i4>
      </vt:variant>
      <vt:variant>
        <vt:i4>27</vt:i4>
      </vt:variant>
      <vt:variant>
        <vt:i4>0</vt:i4>
      </vt:variant>
      <vt:variant>
        <vt:i4>5</vt:i4>
      </vt:variant>
      <vt:variant>
        <vt:lpwstr>http://www.rba.gov.au/statistics/hist-exchange-rates/index.html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Shade</dc:creator>
  <cp:keywords/>
  <dc:description/>
  <cp:lastModifiedBy>Cornwell, Mike</cp:lastModifiedBy>
  <cp:revision>2</cp:revision>
  <cp:lastPrinted>2013-06-02T21:47:00Z</cp:lastPrinted>
  <dcterms:created xsi:type="dcterms:W3CDTF">2014-07-04T03:51:00Z</dcterms:created>
  <dcterms:modified xsi:type="dcterms:W3CDTF">2014-07-04T03:51:00Z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0x010100A7DEA46028A35847B739053647F55082004225EBFB4A1681499217373BAB190562</vt:lpwstr>
  </property>
  <property fmtid="{D5CDD505-2E9C-101B-9397-08002B2CF9AE}" pid="3" name="Order">
    <vt:r8>219200</vt:r8>
  </property>
  <property fmtid="{D5CDD505-2E9C-101B-9397-08002B2CF9AE}" pid="4" name="PublishingRollupImage">
    <vt:lpwstr/>
  </property>
  <property fmtid="{D5CDD505-2E9C-101B-9397-08002B2CF9AE}" pid="6" name="xd_ProgID">
    <vt:lpwstr/>
  </property>
  <property fmtid="{D5CDD505-2E9C-101B-9397-08002B2CF9AE}" pid="8" name="PublishingVariationRelationshipLinkFieldID">
    <vt:lpwstr/>
  </property>
  <property fmtid="{D5CDD505-2E9C-101B-9397-08002B2CF9AE}" pid="9" name="_SourceUrl">
    <vt:lpwstr/>
  </property>
  <property fmtid="{D5CDD505-2E9C-101B-9397-08002B2CF9AE}" pid="10" name="_SharedFileIndex">
    <vt:lpwstr/>
  </property>
  <property fmtid="{D5CDD505-2E9C-101B-9397-08002B2CF9AE}" pid="11" name="Comments">
    <vt:lpwstr/>
  </property>
  <property fmtid="{D5CDD505-2E9C-101B-9397-08002B2CF9AE}" pid="12" name="PublishingPageLayout">
    <vt:lpwstr/>
  </property>
  <property fmtid="{D5CDD505-2E9C-101B-9397-08002B2CF9AE}" pid="13" name="SubjectOrFunction">
    <vt:lpwstr>15101;#Superannuation|950fea4e-836f-4dca-b9f1-3e0a28083014</vt:lpwstr>
  </property>
  <property fmtid="{D5CDD505-2E9C-101B-9397-08002B2CF9AE}" pid="14" name="TemplateUrl">
    <vt:lpwstr/>
  </property>
  <property fmtid="{D5CDD505-2E9C-101B-9397-08002B2CF9AE}" pid="15" name="Audience">
    <vt:lpwstr/>
  </property>
  <property fmtid="{D5CDD505-2E9C-101B-9397-08002B2CF9AE}" pid="16" name="DocumentType">
    <vt:lpwstr>24314;#Reporting Standards|a0454b65-6d11-4de3-9d27-3de0a182af76</vt:lpwstr>
  </property>
  <property fmtid="{D5CDD505-2E9C-101B-9397-08002B2CF9AE}" pid="17" name="PublishingVariationGroupID">
    <vt:lpwstr/>
  </property>
</Properties>
</file>