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3FEEA" w14:textId="1CE627B6" w:rsidR="002E7C24" w:rsidRPr="007F1CAC" w:rsidRDefault="002E7C24" w:rsidP="002E7C24">
      <w:pPr>
        <w:pStyle w:val="Heading1"/>
      </w:pPr>
      <w:r w:rsidRPr="007F1CAC">
        <w:t>SRS 535.0 Asset Allocation - Worked example</w:t>
      </w:r>
    </w:p>
    <w:p w14:paraId="7C64C39A" w14:textId="77777777" w:rsidR="002E7C24" w:rsidRPr="002E7C24" w:rsidRDefault="002E7C24" w:rsidP="002E7C24">
      <w:pPr>
        <w:pStyle w:val="Heading3"/>
      </w:pPr>
      <w:r w:rsidRPr="002E7C24">
        <w:t xml:space="preserve">Introduction </w:t>
      </w:r>
    </w:p>
    <w:p w14:paraId="40B0E0F5" w14:textId="0DC866F4" w:rsidR="002E7C24" w:rsidRDefault="002E7C24" w:rsidP="002E7C24">
      <w:r>
        <w:t>This document details a simplified example of reporting under draft “</w:t>
      </w:r>
      <w:r w:rsidRPr="00897245">
        <w:t xml:space="preserve">SRS </w:t>
      </w:r>
      <w:r>
        <w:t>535</w:t>
      </w:r>
      <w:r w:rsidRPr="00897245">
        <w:t xml:space="preserve">.0 </w:t>
      </w:r>
      <w:r>
        <w:t>Asset Allocation”</w:t>
      </w:r>
      <w:r w:rsidRPr="009B02FF">
        <w:rPr>
          <w:i/>
        </w:rPr>
        <w:t xml:space="preserve"> </w:t>
      </w:r>
      <w:r>
        <w:t xml:space="preserve">(SRS 535.0) to provide clarity and promote consistency in compiling pilot data and submission responses for consultation on this topic.  </w:t>
      </w:r>
    </w:p>
    <w:p w14:paraId="5E5D9377" w14:textId="77777777" w:rsidR="00C52CBA" w:rsidRDefault="00C52CBA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b/>
          <w:bCs/>
          <w:color w:val="auto"/>
          <w:sz w:val="24"/>
          <w:szCs w:val="24"/>
        </w:rPr>
      </w:pPr>
    </w:p>
    <w:p w14:paraId="5D6C4C8F" w14:textId="681EFF18" w:rsidR="00676BC6" w:rsidRPr="00676BC6" w:rsidRDefault="00294033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b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="Cordia New"/>
          <w:b/>
          <w:bCs/>
          <w:color w:val="auto"/>
          <w:sz w:val="24"/>
          <w:szCs w:val="24"/>
        </w:rPr>
        <w:t xml:space="preserve">SRF 550.0: Table 1, </w:t>
      </w:r>
      <w:r w:rsidR="00676BC6" w:rsidRPr="00676BC6">
        <w:rPr>
          <w:rFonts w:asciiTheme="minorHAnsi" w:eastAsia="Times New Roman" w:hAnsiTheme="minorHAnsi" w:cs="Cordia New"/>
          <w:b/>
          <w:bCs/>
          <w:color w:val="auto"/>
          <w:sz w:val="24"/>
          <w:szCs w:val="24"/>
        </w:rPr>
        <w:t>Strategic Asset Allocation</w:t>
      </w:r>
    </w:p>
    <w:p w14:paraId="1EC1F52D" w14:textId="77777777" w:rsidR="00676BC6" w:rsidRPr="00676BC6" w:rsidRDefault="00676BC6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b/>
          <w:bCs/>
          <w:color w:val="auto"/>
        </w:rPr>
      </w:pPr>
      <w:r w:rsidRPr="00676BC6">
        <w:rPr>
          <w:rFonts w:asciiTheme="minorHAnsi" w:eastAsia="Times New Roman" w:hAnsiTheme="minorHAnsi" w:cs="Cordia New"/>
          <w:b/>
          <w:bCs/>
          <w:color w:val="auto"/>
        </w:rPr>
        <w:t>ABC Superannuation</w:t>
      </w:r>
    </w:p>
    <w:p w14:paraId="11E7700E" w14:textId="7BF04C1C" w:rsidR="00676BC6" w:rsidRPr="00676BC6" w:rsidRDefault="00676BC6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 w:rsidRPr="00676BC6">
        <w:rPr>
          <w:rFonts w:asciiTheme="minorHAnsi" w:eastAsia="Times New Roman" w:hAnsiTheme="minorHAnsi" w:cs="Cordia New"/>
          <w:color w:val="auto"/>
        </w:rPr>
        <w:t>ABC Superannuation’s</w:t>
      </w:r>
      <w:r w:rsidR="00D411ED">
        <w:rPr>
          <w:rFonts w:asciiTheme="minorHAnsi" w:eastAsia="Times New Roman" w:hAnsiTheme="minorHAnsi" w:cs="Cordia New"/>
          <w:color w:val="auto"/>
        </w:rPr>
        <w:t xml:space="preserve"> Investment Policy Statement (IPS) indicates the following strategic asset allocation</w:t>
      </w:r>
      <w:r w:rsidRPr="00676BC6">
        <w:rPr>
          <w:rFonts w:asciiTheme="minorHAnsi" w:eastAsia="Times New Roman" w:hAnsiTheme="minorHAnsi" w:cs="Cordia New"/>
          <w:color w:val="auto"/>
        </w:rPr>
        <w:t xml:space="preserve"> for their Balanced investment </w:t>
      </w:r>
      <w:r w:rsidR="00D411ED">
        <w:rPr>
          <w:rFonts w:asciiTheme="minorHAnsi" w:eastAsia="Times New Roman" w:hAnsiTheme="minorHAnsi" w:cs="Cordia New"/>
          <w:color w:val="auto"/>
        </w:rPr>
        <w:t>option,</w:t>
      </w:r>
      <w:r w:rsidRPr="00676BC6">
        <w:rPr>
          <w:rFonts w:asciiTheme="minorHAnsi" w:eastAsia="Times New Roman" w:hAnsiTheme="minorHAnsi" w:cs="Cordia New"/>
          <w:color w:val="auto"/>
        </w:rPr>
        <w:t xml:space="preserve"> which includes currency hedging targets set at the asset class level:</w:t>
      </w:r>
    </w:p>
    <w:p w14:paraId="76C27F1B" w14:textId="77777777" w:rsidR="00676BC6" w:rsidRPr="00676BC6" w:rsidRDefault="00676BC6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</w:p>
    <w:tbl>
      <w:tblPr>
        <w:tblStyle w:val="GridTable4-Accent5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1285"/>
        <w:gridCol w:w="1134"/>
        <w:gridCol w:w="1134"/>
        <w:gridCol w:w="1701"/>
      </w:tblGrid>
      <w:tr w:rsidR="00676BC6" w:rsidRPr="00676BC6" w14:paraId="199A976F" w14:textId="77777777" w:rsidTr="00491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E932D97" w14:textId="77777777" w:rsidR="00676BC6" w:rsidRPr="00676BC6" w:rsidRDefault="00676BC6" w:rsidP="00676BC6">
            <w:pPr>
              <w:spacing w:after="160" w:line="259" w:lineRule="auto"/>
              <w:jc w:val="center"/>
              <w:rPr>
                <w:color w:val="auto"/>
              </w:rPr>
            </w:pPr>
            <w:r w:rsidRPr="00676BC6">
              <w:rPr>
                <w:color w:val="auto"/>
              </w:rPr>
              <w:t>Asset Class</w:t>
            </w:r>
          </w:p>
        </w:tc>
        <w:tc>
          <w:tcPr>
            <w:tcW w:w="1285" w:type="dxa"/>
          </w:tcPr>
          <w:p w14:paraId="0F48BA39" w14:textId="77777777" w:rsidR="00676BC6" w:rsidRPr="00676BC6" w:rsidRDefault="00676BC6" w:rsidP="00676B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BC6">
              <w:rPr>
                <w:color w:val="auto"/>
              </w:rPr>
              <w:t>Allocation</w:t>
            </w:r>
          </w:p>
        </w:tc>
        <w:tc>
          <w:tcPr>
            <w:tcW w:w="1134" w:type="dxa"/>
          </w:tcPr>
          <w:p w14:paraId="741CD14E" w14:textId="77777777" w:rsidR="00676BC6" w:rsidRPr="00676BC6" w:rsidRDefault="00676BC6" w:rsidP="00676B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BC6">
              <w:rPr>
                <w:color w:val="auto"/>
              </w:rPr>
              <w:t>Lower</w:t>
            </w:r>
          </w:p>
        </w:tc>
        <w:tc>
          <w:tcPr>
            <w:tcW w:w="1134" w:type="dxa"/>
          </w:tcPr>
          <w:p w14:paraId="10968ACF" w14:textId="77777777" w:rsidR="00676BC6" w:rsidRPr="00676BC6" w:rsidRDefault="00676BC6" w:rsidP="00676B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BC6">
              <w:rPr>
                <w:color w:val="auto"/>
              </w:rPr>
              <w:t>Upper</w:t>
            </w:r>
          </w:p>
        </w:tc>
        <w:tc>
          <w:tcPr>
            <w:tcW w:w="1701" w:type="dxa"/>
          </w:tcPr>
          <w:p w14:paraId="7A57E935" w14:textId="77777777" w:rsidR="00676BC6" w:rsidRPr="00676BC6" w:rsidRDefault="00676BC6" w:rsidP="00676B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BC6">
              <w:rPr>
                <w:color w:val="auto"/>
              </w:rPr>
              <w:t>Currency Hedging Target</w:t>
            </w:r>
          </w:p>
        </w:tc>
      </w:tr>
      <w:tr w:rsidR="00676BC6" w:rsidRPr="00676BC6" w14:paraId="6D018BAD" w14:textId="77777777" w:rsidTr="00491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AB0367E" w14:textId="77777777" w:rsidR="00676BC6" w:rsidRPr="00676BC6" w:rsidRDefault="00676BC6" w:rsidP="00676BC6">
            <w:pPr>
              <w:spacing w:after="160" w:line="259" w:lineRule="auto"/>
              <w:jc w:val="center"/>
            </w:pPr>
            <w:r w:rsidRPr="00676BC6">
              <w:t>Australian equities</w:t>
            </w:r>
          </w:p>
        </w:tc>
        <w:tc>
          <w:tcPr>
            <w:tcW w:w="1285" w:type="dxa"/>
          </w:tcPr>
          <w:p w14:paraId="35277051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20%</w:t>
            </w:r>
          </w:p>
        </w:tc>
        <w:tc>
          <w:tcPr>
            <w:tcW w:w="1134" w:type="dxa"/>
          </w:tcPr>
          <w:p w14:paraId="450CA685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10%</w:t>
            </w:r>
          </w:p>
        </w:tc>
        <w:tc>
          <w:tcPr>
            <w:tcW w:w="1134" w:type="dxa"/>
          </w:tcPr>
          <w:p w14:paraId="115D2704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40%</w:t>
            </w:r>
          </w:p>
        </w:tc>
        <w:tc>
          <w:tcPr>
            <w:tcW w:w="1701" w:type="dxa"/>
          </w:tcPr>
          <w:p w14:paraId="3DAE911B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6BC6" w:rsidRPr="00676BC6" w14:paraId="63C293BD" w14:textId="77777777" w:rsidTr="004910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F586800" w14:textId="77777777" w:rsidR="00676BC6" w:rsidRPr="00676BC6" w:rsidRDefault="00676BC6" w:rsidP="00676BC6">
            <w:pPr>
              <w:spacing w:after="160" w:line="259" w:lineRule="auto"/>
              <w:jc w:val="center"/>
            </w:pPr>
            <w:r w:rsidRPr="00676BC6">
              <w:t>International equities</w:t>
            </w:r>
          </w:p>
        </w:tc>
        <w:tc>
          <w:tcPr>
            <w:tcW w:w="1285" w:type="dxa"/>
          </w:tcPr>
          <w:p w14:paraId="2D9AC774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30%</w:t>
            </w:r>
          </w:p>
        </w:tc>
        <w:tc>
          <w:tcPr>
            <w:tcW w:w="1134" w:type="dxa"/>
          </w:tcPr>
          <w:p w14:paraId="25E285EF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10%</w:t>
            </w:r>
          </w:p>
        </w:tc>
        <w:tc>
          <w:tcPr>
            <w:tcW w:w="1134" w:type="dxa"/>
          </w:tcPr>
          <w:p w14:paraId="7E38DEAA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40%</w:t>
            </w:r>
          </w:p>
        </w:tc>
        <w:tc>
          <w:tcPr>
            <w:tcW w:w="1701" w:type="dxa"/>
          </w:tcPr>
          <w:p w14:paraId="66C30C7A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50%</w:t>
            </w:r>
          </w:p>
        </w:tc>
      </w:tr>
      <w:tr w:rsidR="00676BC6" w:rsidRPr="00676BC6" w14:paraId="1EF7D6E3" w14:textId="77777777" w:rsidTr="00491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AAA9752" w14:textId="77777777" w:rsidR="00676BC6" w:rsidRPr="00676BC6" w:rsidRDefault="00676BC6" w:rsidP="00676BC6">
            <w:pPr>
              <w:spacing w:after="160" w:line="259" w:lineRule="auto"/>
              <w:jc w:val="center"/>
            </w:pPr>
            <w:r w:rsidRPr="00676BC6">
              <w:t>Fixed income</w:t>
            </w:r>
          </w:p>
        </w:tc>
        <w:tc>
          <w:tcPr>
            <w:tcW w:w="1285" w:type="dxa"/>
          </w:tcPr>
          <w:p w14:paraId="3D7C0094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10%</w:t>
            </w:r>
          </w:p>
        </w:tc>
        <w:tc>
          <w:tcPr>
            <w:tcW w:w="1134" w:type="dxa"/>
          </w:tcPr>
          <w:p w14:paraId="592EF4CC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0%</w:t>
            </w:r>
          </w:p>
        </w:tc>
        <w:tc>
          <w:tcPr>
            <w:tcW w:w="1134" w:type="dxa"/>
          </w:tcPr>
          <w:p w14:paraId="79721770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20%</w:t>
            </w:r>
          </w:p>
        </w:tc>
        <w:tc>
          <w:tcPr>
            <w:tcW w:w="1701" w:type="dxa"/>
          </w:tcPr>
          <w:p w14:paraId="28FA2205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6BC6" w:rsidRPr="00676BC6" w14:paraId="7F2A1856" w14:textId="77777777" w:rsidTr="004910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4FB775E" w14:textId="77777777" w:rsidR="00676BC6" w:rsidRPr="00676BC6" w:rsidRDefault="00676BC6" w:rsidP="00676BC6">
            <w:pPr>
              <w:spacing w:after="160" w:line="259" w:lineRule="auto"/>
              <w:jc w:val="center"/>
            </w:pPr>
            <w:r w:rsidRPr="00676BC6">
              <w:t>Credit</w:t>
            </w:r>
          </w:p>
        </w:tc>
        <w:tc>
          <w:tcPr>
            <w:tcW w:w="1285" w:type="dxa"/>
          </w:tcPr>
          <w:p w14:paraId="5E1F0DC4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5%</w:t>
            </w:r>
          </w:p>
        </w:tc>
        <w:tc>
          <w:tcPr>
            <w:tcW w:w="1134" w:type="dxa"/>
          </w:tcPr>
          <w:p w14:paraId="685FF004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0%</w:t>
            </w:r>
          </w:p>
        </w:tc>
        <w:tc>
          <w:tcPr>
            <w:tcW w:w="1134" w:type="dxa"/>
          </w:tcPr>
          <w:p w14:paraId="4387C529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20%</w:t>
            </w:r>
          </w:p>
        </w:tc>
        <w:tc>
          <w:tcPr>
            <w:tcW w:w="1701" w:type="dxa"/>
          </w:tcPr>
          <w:p w14:paraId="4AA38B76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6BC6" w:rsidRPr="00676BC6" w14:paraId="36387B36" w14:textId="77777777" w:rsidTr="00491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CF49FB8" w14:textId="77777777" w:rsidR="00676BC6" w:rsidRPr="00676BC6" w:rsidRDefault="00676BC6" w:rsidP="00676BC6">
            <w:pPr>
              <w:spacing w:after="160" w:line="259" w:lineRule="auto"/>
              <w:jc w:val="center"/>
            </w:pPr>
            <w:r w:rsidRPr="00676BC6">
              <w:t>Property</w:t>
            </w:r>
          </w:p>
        </w:tc>
        <w:tc>
          <w:tcPr>
            <w:tcW w:w="1285" w:type="dxa"/>
          </w:tcPr>
          <w:p w14:paraId="1FA00EB7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10%</w:t>
            </w:r>
          </w:p>
        </w:tc>
        <w:tc>
          <w:tcPr>
            <w:tcW w:w="1134" w:type="dxa"/>
          </w:tcPr>
          <w:p w14:paraId="5A615726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0%</w:t>
            </w:r>
          </w:p>
        </w:tc>
        <w:tc>
          <w:tcPr>
            <w:tcW w:w="1134" w:type="dxa"/>
          </w:tcPr>
          <w:p w14:paraId="63593062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40%</w:t>
            </w:r>
          </w:p>
        </w:tc>
        <w:tc>
          <w:tcPr>
            <w:tcW w:w="1701" w:type="dxa"/>
          </w:tcPr>
          <w:p w14:paraId="6FA208CC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6BC6" w:rsidRPr="00676BC6" w14:paraId="33A73ED2" w14:textId="77777777" w:rsidTr="004910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FDB9F42" w14:textId="77777777" w:rsidR="00676BC6" w:rsidRPr="00676BC6" w:rsidRDefault="00676BC6" w:rsidP="00676BC6">
            <w:pPr>
              <w:spacing w:after="160" w:line="259" w:lineRule="auto"/>
              <w:jc w:val="center"/>
            </w:pPr>
            <w:r w:rsidRPr="00676BC6">
              <w:t>Infrastructure</w:t>
            </w:r>
          </w:p>
        </w:tc>
        <w:tc>
          <w:tcPr>
            <w:tcW w:w="1285" w:type="dxa"/>
          </w:tcPr>
          <w:p w14:paraId="17797C3F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10%</w:t>
            </w:r>
          </w:p>
        </w:tc>
        <w:tc>
          <w:tcPr>
            <w:tcW w:w="1134" w:type="dxa"/>
          </w:tcPr>
          <w:p w14:paraId="2AA04B7D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0%</w:t>
            </w:r>
          </w:p>
        </w:tc>
        <w:tc>
          <w:tcPr>
            <w:tcW w:w="1134" w:type="dxa"/>
          </w:tcPr>
          <w:p w14:paraId="627CC2A4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20%</w:t>
            </w:r>
          </w:p>
        </w:tc>
        <w:tc>
          <w:tcPr>
            <w:tcW w:w="1701" w:type="dxa"/>
          </w:tcPr>
          <w:p w14:paraId="6743EB50" w14:textId="1CF6385A" w:rsidR="00676BC6" w:rsidRPr="00676BC6" w:rsidRDefault="0080286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</w:t>
            </w:r>
            <w:r w:rsidR="00FE67BC">
              <w:t>%</w:t>
            </w:r>
          </w:p>
        </w:tc>
      </w:tr>
      <w:tr w:rsidR="00676BC6" w:rsidRPr="00676BC6" w14:paraId="5E9B4E42" w14:textId="77777777" w:rsidTr="00491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221C134" w14:textId="77777777" w:rsidR="00676BC6" w:rsidRPr="00676BC6" w:rsidRDefault="00676BC6" w:rsidP="00676BC6">
            <w:pPr>
              <w:spacing w:after="160" w:line="259" w:lineRule="auto"/>
              <w:jc w:val="center"/>
            </w:pPr>
            <w:r w:rsidRPr="00676BC6">
              <w:t>Private Equity</w:t>
            </w:r>
          </w:p>
        </w:tc>
        <w:tc>
          <w:tcPr>
            <w:tcW w:w="1285" w:type="dxa"/>
          </w:tcPr>
          <w:p w14:paraId="53FDA33C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5%</w:t>
            </w:r>
          </w:p>
        </w:tc>
        <w:tc>
          <w:tcPr>
            <w:tcW w:w="1134" w:type="dxa"/>
          </w:tcPr>
          <w:p w14:paraId="446C093E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0%</w:t>
            </w:r>
          </w:p>
        </w:tc>
        <w:tc>
          <w:tcPr>
            <w:tcW w:w="1134" w:type="dxa"/>
          </w:tcPr>
          <w:p w14:paraId="7FAB5E32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10%</w:t>
            </w:r>
          </w:p>
        </w:tc>
        <w:tc>
          <w:tcPr>
            <w:tcW w:w="1701" w:type="dxa"/>
          </w:tcPr>
          <w:p w14:paraId="6C4999B9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6BC6" w:rsidRPr="00676BC6" w14:paraId="41C60CDC" w14:textId="77777777" w:rsidTr="004910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7162427" w14:textId="77777777" w:rsidR="00676BC6" w:rsidRPr="00676BC6" w:rsidRDefault="00676BC6" w:rsidP="00676BC6">
            <w:pPr>
              <w:spacing w:after="160" w:line="259" w:lineRule="auto"/>
              <w:jc w:val="center"/>
            </w:pPr>
            <w:r w:rsidRPr="00676BC6">
              <w:t>Growth alternatives</w:t>
            </w:r>
          </w:p>
        </w:tc>
        <w:tc>
          <w:tcPr>
            <w:tcW w:w="1285" w:type="dxa"/>
          </w:tcPr>
          <w:p w14:paraId="7775AE67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3%</w:t>
            </w:r>
          </w:p>
        </w:tc>
        <w:tc>
          <w:tcPr>
            <w:tcW w:w="1134" w:type="dxa"/>
          </w:tcPr>
          <w:p w14:paraId="78B09522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0%</w:t>
            </w:r>
          </w:p>
        </w:tc>
        <w:tc>
          <w:tcPr>
            <w:tcW w:w="1134" w:type="dxa"/>
          </w:tcPr>
          <w:p w14:paraId="295632F6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5%</w:t>
            </w:r>
          </w:p>
        </w:tc>
        <w:tc>
          <w:tcPr>
            <w:tcW w:w="1701" w:type="dxa"/>
          </w:tcPr>
          <w:p w14:paraId="6AEDD9B6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6BC6" w:rsidRPr="00676BC6" w14:paraId="5E1FFB41" w14:textId="77777777" w:rsidTr="00491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5E82392" w14:textId="77777777" w:rsidR="00676BC6" w:rsidRPr="00676BC6" w:rsidRDefault="00676BC6" w:rsidP="00676BC6">
            <w:pPr>
              <w:spacing w:after="160" w:line="259" w:lineRule="auto"/>
              <w:jc w:val="center"/>
            </w:pPr>
            <w:r w:rsidRPr="00676BC6">
              <w:t>Defensive alternatives</w:t>
            </w:r>
          </w:p>
        </w:tc>
        <w:tc>
          <w:tcPr>
            <w:tcW w:w="1285" w:type="dxa"/>
          </w:tcPr>
          <w:p w14:paraId="15A9751A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2%</w:t>
            </w:r>
          </w:p>
        </w:tc>
        <w:tc>
          <w:tcPr>
            <w:tcW w:w="1134" w:type="dxa"/>
          </w:tcPr>
          <w:p w14:paraId="20FE30DA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0%</w:t>
            </w:r>
          </w:p>
        </w:tc>
        <w:tc>
          <w:tcPr>
            <w:tcW w:w="1134" w:type="dxa"/>
          </w:tcPr>
          <w:p w14:paraId="52A4DCD5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5%</w:t>
            </w:r>
          </w:p>
        </w:tc>
        <w:tc>
          <w:tcPr>
            <w:tcW w:w="1701" w:type="dxa"/>
          </w:tcPr>
          <w:p w14:paraId="19B8B5B7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6BC6" w:rsidRPr="00676BC6" w14:paraId="207394D9" w14:textId="77777777" w:rsidTr="004910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BF6DB49" w14:textId="77777777" w:rsidR="00676BC6" w:rsidRPr="00676BC6" w:rsidRDefault="00676BC6" w:rsidP="00676BC6">
            <w:pPr>
              <w:spacing w:after="160" w:line="259" w:lineRule="auto"/>
              <w:jc w:val="center"/>
            </w:pPr>
            <w:r w:rsidRPr="00676BC6">
              <w:t>Cash</w:t>
            </w:r>
          </w:p>
        </w:tc>
        <w:tc>
          <w:tcPr>
            <w:tcW w:w="1285" w:type="dxa"/>
          </w:tcPr>
          <w:p w14:paraId="18473DDD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5%</w:t>
            </w:r>
          </w:p>
        </w:tc>
        <w:tc>
          <w:tcPr>
            <w:tcW w:w="1134" w:type="dxa"/>
          </w:tcPr>
          <w:p w14:paraId="001CFF8F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0%</w:t>
            </w:r>
          </w:p>
        </w:tc>
        <w:tc>
          <w:tcPr>
            <w:tcW w:w="1134" w:type="dxa"/>
          </w:tcPr>
          <w:p w14:paraId="7384D43B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15%</w:t>
            </w:r>
          </w:p>
        </w:tc>
        <w:tc>
          <w:tcPr>
            <w:tcW w:w="1701" w:type="dxa"/>
          </w:tcPr>
          <w:p w14:paraId="49CEDFFC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221B8E" w14:textId="77777777" w:rsidR="00676BC6" w:rsidRPr="00676BC6" w:rsidRDefault="00676BC6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</w:p>
    <w:p w14:paraId="7087DE71" w14:textId="420F9D5F" w:rsidR="00676BC6" w:rsidRPr="00676BC6" w:rsidRDefault="00676BC6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 w:rsidRPr="00676BC6">
        <w:rPr>
          <w:rFonts w:asciiTheme="minorHAnsi" w:eastAsia="Times New Roman" w:hAnsiTheme="minorHAnsi" w:cs="Cordia New"/>
          <w:color w:val="auto"/>
        </w:rPr>
        <w:t>While currency hedging is utilised in investments outside of international equities</w:t>
      </w:r>
      <w:r w:rsidR="00AB486C">
        <w:rPr>
          <w:rFonts w:asciiTheme="minorHAnsi" w:eastAsia="Times New Roman" w:hAnsiTheme="minorHAnsi" w:cs="Cordia New"/>
          <w:color w:val="auto"/>
        </w:rPr>
        <w:t xml:space="preserve"> and infrastructure</w:t>
      </w:r>
      <w:r w:rsidRPr="00676BC6">
        <w:rPr>
          <w:rFonts w:asciiTheme="minorHAnsi" w:eastAsia="Times New Roman" w:hAnsiTheme="minorHAnsi" w:cs="Cordia New"/>
          <w:color w:val="auto"/>
        </w:rPr>
        <w:t xml:space="preserve">, only ABC’s allocation to </w:t>
      </w:r>
      <w:r w:rsidR="00AB486C">
        <w:rPr>
          <w:rFonts w:asciiTheme="minorHAnsi" w:eastAsia="Times New Roman" w:hAnsiTheme="minorHAnsi" w:cs="Cordia New"/>
          <w:color w:val="auto"/>
        </w:rPr>
        <w:t>these assets</w:t>
      </w:r>
      <w:r w:rsidRPr="00676BC6">
        <w:rPr>
          <w:rFonts w:asciiTheme="minorHAnsi" w:eastAsia="Times New Roman" w:hAnsiTheme="minorHAnsi" w:cs="Cordia New"/>
          <w:color w:val="auto"/>
        </w:rPr>
        <w:t xml:space="preserve"> has a currency hedging target.</w:t>
      </w:r>
      <w:r w:rsidR="00F0601C">
        <w:rPr>
          <w:rFonts w:asciiTheme="minorHAnsi" w:eastAsia="Times New Roman" w:hAnsiTheme="minorHAnsi" w:cs="Cordia New"/>
          <w:color w:val="auto"/>
        </w:rPr>
        <w:t xml:space="preserve"> The 75% currency hedging target for infrastructure applies to the international component of the infrastructure allocation and not the allocation as a whole.</w:t>
      </w:r>
    </w:p>
    <w:p w14:paraId="276D764F" w14:textId="77777777" w:rsidR="00676BC6" w:rsidRPr="00676BC6" w:rsidRDefault="00676BC6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 w:rsidRPr="00676BC6">
        <w:rPr>
          <w:rFonts w:asciiTheme="minorHAnsi" w:eastAsia="Times New Roman" w:hAnsiTheme="minorHAnsi" w:cs="Cordia New"/>
          <w:color w:val="auto"/>
        </w:rPr>
        <w:t>ABC Superannuation submit the following high-level and low-level strategic asset allocation:</w:t>
      </w:r>
    </w:p>
    <w:p w14:paraId="2D6085D9" w14:textId="33043106" w:rsidR="00676BC6" w:rsidRPr="00676BC6" w:rsidRDefault="00AA5A7D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>
        <w:rPr>
          <w:noProof/>
          <w:lang w:eastAsia="en-AU"/>
        </w:rPr>
        <w:lastRenderedPageBreak/>
        <w:drawing>
          <wp:inline distT="0" distB="0" distL="0" distR="0" wp14:anchorId="42D98E11" wp14:editId="339939F2">
            <wp:extent cx="5731510" cy="1191895"/>
            <wp:effectExtent l="0" t="0" r="254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BA4CE" w14:textId="0BF9A78F" w:rsidR="00676BC6" w:rsidRPr="00676BC6" w:rsidRDefault="00911855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>
        <w:rPr>
          <w:noProof/>
          <w:lang w:eastAsia="en-AU"/>
        </w:rPr>
        <w:drawing>
          <wp:inline distT="0" distB="0" distL="0" distR="0" wp14:anchorId="039DC862" wp14:editId="279AA0C3">
            <wp:extent cx="5731510" cy="1041400"/>
            <wp:effectExtent l="0" t="0" r="254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E5DE8" w14:textId="6B5B3395" w:rsidR="00676BC6" w:rsidRDefault="00676BC6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 w:rsidRPr="00676BC6">
        <w:rPr>
          <w:rFonts w:asciiTheme="minorHAnsi" w:eastAsia="Times New Roman" w:hAnsiTheme="minorHAnsi" w:cs="Cordia New"/>
          <w:color w:val="auto"/>
        </w:rPr>
        <w:t>As ABC Superannuation set their strategic asset allocation at a more granular level than that which is available in the high-level strategic asset allocation table, they break their “Credit / Fixed Income” and “Alternatives” allocations into the more granular buckets in the low-level strategic asset allocation table.</w:t>
      </w:r>
      <w:r w:rsidR="00524986">
        <w:rPr>
          <w:rFonts w:asciiTheme="minorHAnsi" w:eastAsia="Times New Roman" w:hAnsiTheme="minorHAnsi" w:cs="Cordia New"/>
          <w:color w:val="auto"/>
        </w:rPr>
        <w:t xml:space="preserve"> Additionally, as the currency hedging ratio for the infrastructure allocation only applies to the internationally domiciled component of the infrastructure allocation, this is split out in the low-level table.</w:t>
      </w:r>
    </w:p>
    <w:p w14:paraId="185AB840" w14:textId="09961951" w:rsidR="00A721EA" w:rsidRPr="00676BC6" w:rsidRDefault="00A721EA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>
        <w:rPr>
          <w:rFonts w:asciiTheme="minorHAnsi" w:eastAsia="Times New Roman" w:hAnsiTheme="minorHAnsi" w:cs="Cordia New"/>
          <w:color w:val="auto"/>
        </w:rPr>
        <w:t>All low-level benchmark allocations should map back up to the</w:t>
      </w:r>
      <w:r w:rsidR="00F27A80">
        <w:rPr>
          <w:rFonts w:asciiTheme="minorHAnsi" w:eastAsia="Times New Roman" w:hAnsiTheme="minorHAnsi" w:cs="Cordia New"/>
          <w:color w:val="auto"/>
        </w:rPr>
        <w:t xml:space="preserve">ir respective high-level strategic sector in the </w:t>
      </w:r>
      <w:proofErr w:type="gramStart"/>
      <w:r w:rsidR="00F27A80">
        <w:rPr>
          <w:rFonts w:asciiTheme="minorHAnsi" w:eastAsia="Times New Roman" w:hAnsiTheme="minorHAnsi" w:cs="Cordia New"/>
          <w:color w:val="auto"/>
        </w:rPr>
        <w:t>high level</w:t>
      </w:r>
      <w:proofErr w:type="gramEnd"/>
      <w:r w:rsidR="00F27A80">
        <w:rPr>
          <w:rFonts w:asciiTheme="minorHAnsi" w:eastAsia="Times New Roman" w:hAnsiTheme="minorHAnsi" w:cs="Cordia New"/>
          <w:color w:val="auto"/>
        </w:rPr>
        <w:t xml:space="preserve"> SAA</w:t>
      </w:r>
      <w:r>
        <w:rPr>
          <w:rFonts w:asciiTheme="minorHAnsi" w:eastAsia="Times New Roman" w:hAnsiTheme="minorHAnsi" w:cs="Cordia New"/>
          <w:color w:val="auto"/>
        </w:rPr>
        <w:t xml:space="preserve"> and equate to the same overall benchmark allocation. For instance, in the example above the “Credit” allocation of 5% and the “Government Bonds” allocation of 10% map back to the “Credit/Fixed Income”</w:t>
      </w:r>
      <w:r w:rsidR="00F27A80">
        <w:rPr>
          <w:rFonts w:asciiTheme="minorHAnsi" w:eastAsia="Times New Roman" w:hAnsiTheme="minorHAnsi" w:cs="Cordia New"/>
          <w:color w:val="auto"/>
        </w:rPr>
        <w:t xml:space="preserve"> high-</w:t>
      </w:r>
      <w:r>
        <w:rPr>
          <w:rFonts w:asciiTheme="minorHAnsi" w:eastAsia="Times New Roman" w:hAnsiTheme="minorHAnsi" w:cs="Cordia New"/>
          <w:color w:val="auto"/>
        </w:rPr>
        <w:t>level allocation of 15%. The same is the case for the “Alternatives” allocations.</w:t>
      </w:r>
    </w:p>
    <w:p w14:paraId="1D957CDA" w14:textId="16A2D256" w:rsidR="00676BC6" w:rsidRPr="00676BC6" w:rsidRDefault="00676BC6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 w:rsidRPr="00676BC6">
        <w:rPr>
          <w:rFonts w:asciiTheme="minorHAnsi" w:eastAsia="Times New Roman" w:hAnsiTheme="minorHAnsi" w:cs="Cordia New"/>
          <w:color w:val="auto"/>
        </w:rPr>
        <w:t>As currency hedging is implemented at the asset class level</w:t>
      </w:r>
      <w:r w:rsidR="00911855">
        <w:rPr>
          <w:rFonts w:asciiTheme="minorHAnsi" w:eastAsia="Times New Roman" w:hAnsiTheme="minorHAnsi" w:cs="Cordia New"/>
          <w:color w:val="auto"/>
        </w:rPr>
        <w:t xml:space="preserve"> and not the investment option level</w:t>
      </w:r>
      <w:r w:rsidRPr="00676BC6">
        <w:rPr>
          <w:rFonts w:asciiTheme="minorHAnsi" w:eastAsia="Times New Roman" w:hAnsiTheme="minorHAnsi" w:cs="Cordia New"/>
          <w:color w:val="auto"/>
        </w:rPr>
        <w:t>, the “Currency Exposure” high-level strategic sector is not used.</w:t>
      </w:r>
    </w:p>
    <w:p w14:paraId="0AE37C6F" w14:textId="31AE2BE4" w:rsidR="00676BC6" w:rsidRPr="00676BC6" w:rsidRDefault="00676BC6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 w:rsidRPr="00676BC6">
        <w:rPr>
          <w:rFonts w:asciiTheme="minorHAnsi" w:eastAsia="Times New Roman" w:hAnsiTheme="minorHAnsi" w:cs="Cordia New"/>
          <w:color w:val="auto"/>
        </w:rPr>
        <w:t xml:space="preserve">Note that the reporting of zero in the currency hedging ratio column indicates a target of 0% has been set. Leaving the cell </w:t>
      </w:r>
      <w:r w:rsidR="00D411ED">
        <w:rPr>
          <w:rFonts w:asciiTheme="minorHAnsi" w:eastAsia="Times New Roman" w:hAnsiTheme="minorHAnsi" w:cs="Cordia New"/>
          <w:color w:val="auto"/>
        </w:rPr>
        <w:t xml:space="preserve">blank </w:t>
      </w:r>
      <w:r w:rsidRPr="00676BC6">
        <w:rPr>
          <w:rFonts w:asciiTheme="minorHAnsi" w:eastAsia="Times New Roman" w:hAnsiTheme="minorHAnsi" w:cs="Cordia New"/>
          <w:color w:val="auto"/>
        </w:rPr>
        <w:t>indicates either no target has been set or it’s not applicable to the asset class.</w:t>
      </w:r>
    </w:p>
    <w:p w14:paraId="54295B81" w14:textId="77777777" w:rsidR="00676BC6" w:rsidRPr="00676BC6" w:rsidRDefault="00676BC6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</w:p>
    <w:p w14:paraId="51A85202" w14:textId="77777777" w:rsidR="00676BC6" w:rsidRPr="00676BC6" w:rsidRDefault="00676BC6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b/>
          <w:bCs/>
          <w:color w:val="auto"/>
        </w:rPr>
      </w:pPr>
      <w:r w:rsidRPr="00676BC6">
        <w:rPr>
          <w:rFonts w:asciiTheme="minorHAnsi" w:eastAsia="Times New Roman" w:hAnsiTheme="minorHAnsi" w:cs="Cordia New"/>
          <w:b/>
          <w:bCs/>
          <w:color w:val="auto"/>
        </w:rPr>
        <w:t>XYZ Superannuation</w:t>
      </w:r>
    </w:p>
    <w:p w14:paraId="415EF104" w14:textId="5A3319CA" w:rsidR="00676BC6" w:rsidRPr="00676BC6" w:rsidRDefault="00676BC6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 w:rsidRPr="00676BC6">
        <w:rPr>
          <w:rFonts w:asciiTheme="minorHAnsi" w:eastAsia="Times New Roman" w:hAnsiTheme="minorHAnsi" w:cs="Cordia New"/>
          <w:color w:val="auto"/>
        </w:rPr>
        <w:t xml:space="preserve">XYZ Superannuation’s </w:t>
      </w:r>
      <w:r w:rsidR="00D411ED">
        <w:rPr>
          <w:rFonts w:asciiTheme="minorHAnsi" w:eastAsia="Times New Roman" w:hAnsiTheme="minorHAnsi" w:cs="Cordia New"/>
          <w:color w:val="auto"/>
        </w:rPr>
        <w:t>Investment Policy Statement (IPS) indicates the following strategic asset allocation</w:t>
      </w:r>
      <w:r w:rsidR="00D411ED" w:rsidRPr="00676BC6">
        <w:rPr>
          <w:rFonts w:asciiTheme="minorHAnsi" w:eastAsia="Times New Roman" w:hAnsiTheme="minorHAnsi" w:cs="Cordia New"/>
          <w:color w:val="auto"/>
        </w:rPr>
        <w:t xml:space="preserve"> </w:t>
      </w:r>
      <w:r w:rsidRPr="00676BC6">
        <w:rPr>
          <w:rFonts w:asciiTheme="minorHAnsi" w:eastAsia="Times New Roman" w:hAnsiTheme="minorHAnsi" w:cs="Cordia New"/>
          <w:color w:val="auto"/>
        </w:rPr>
        <w:t xml:space="preserve">for their Balanced investment </w:t>
      </w:r>
      <w:r w:rsidR="00D411ED">
        <w:rPr>
          <w:rFonts w:asciiTheme="minorHAnsi" w:eastAsia="Times New Roman" w:hAnsiTheme="minorHAnsi" w:cs="Cordia New"/>
          <w:color w:val="auto"/>
        </w:rPr>
        <w:t>option</w:t>
      </w:r>
      <w:r w:rsidRPr="00676BC6">
        <w:rPr>
          <w:rFonts w:asciiTheme="minorHAnsi" w:eastAsia="Times New Roman" w:hAnsiTheme="minorHAnsi" w:cs="Cordia New"/>
          <w:color w:val="auto"/>
        </w:rPr>
        <w:t>, which sets a currency exposure target at the investment option level:</w:t>
      </w:r>
    </w:p>
    <w:p w14:paraId="7250FB92" w14:textId="77777777" w:rsidR="00676BC6" w:rsidRPr="00676BC6" w:rsidRDefault="00676BC6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</w:p>
    <w:tbl>
      <w:tblPr>
        <w:tblStyle w:val="GridTable4-Accent5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1285"/>
        <w:gridCol w:w="1134"/>
        <w:gridCol w:w="1134"/>
      </w:tblGrid>
      <w:tr w:rsidR="00676BC6" w:rsidRPr="00676BC6" w14:paraId="1EB1E747" w14:textId="77777777" w:rsidTr="00491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7CFF711" w14:textId="77777777" w:rsidR="00676BC6" w:rsidRPr="00676BC6" w:rsidRDefault="00676BC6" w:rsidP="00676BC6">
            <w:pPr>
              <w:spacing w:after="160" w:line="259" w:lineRule="auto"/>
              <w:jc w:val="center"/>
              <w:rPr>
                <w:color w:val="auto"/>
              </w:rPr>
            </w:pPr>
            <w:r w:rsidRPr="00676BC6">
              <w:rPr>
                <w:color w:val="auto"/>
              </w:rPr>
              <w:t>Asset Class</w:t>
            </w:r>
          </w:p>
        </w:tc>
        <w:tc>
          <w:tcPr>
            <w:tcW w:w="1285" w:type="dxa"/>
          </w:tcPr>
          <w:p w14:paraId="704617B9" w14:textId="77777777" w:rsidR="00676BC6" w:rsidRPr="00676BC6" w:rsidRDefault="00676BC6" w:rsidP="00676B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BC6">
              <w:rPr>
                <w:color w:val="auto"/>
              </w:rPr>
              <w:t>Allocation</w:t>
            </w:r>
          </w:p>
        </w:tc>
        <w:tc>
          <w:tcPr>
            <w:tcW w:w="1134" w:type="dxa"/>
          </w:tcPr>
          <w:p w14:paraId="4C08F829" w14:textId="77777777" w:rsidR="00676BC6" w:rsidRPr="00676BC6" w:rsidRDefault="00676BC6" w:rsidP="00676B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BC6">
              <w:rPr>
                <w:color w:val="auto"/>
              </w:rPr>
              <w:t>Lower</w:t>
            </w:r>
          </w:p>
        </w:tc>
        <w:tc>
          <w:tcPr>
            <w:tcW w:w="1134" w:type="dxa"/>
          </w:tcPr>
          <w:p w14:paraId="0F2522BA" w14:textId="77777777" w:rsidR="00676BC6" w:rsidRPr="00676BC6" w:rsidRDefault="00676BC6" w:rsidP="00676B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BC6">
              <w:rPr>
                <w:color w:val="auto"/>
              </w:rPr>
              <w:t>Upper</w:t>
            </w:r>
          </w:p>
        </w:tc>
      </w:tr>
      <w:tr w:rsidR="00676BC6" w:rsidRPr="00676BC6" w14:paraId="558F1951" w14:textId="77777777" w:rsidTr="00491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A0260FE" w14:textId="77777777" w:rsidR="00676BC6" w:rsidRPr="00676BC6" w:rsidRDefault="00676BC6" w:rsidP="00676BC6">
            <w:pPr>
              <w:spacing w:after="160" w:line="259" w:lineRule="auto"/>
              <w:jc w:val="center"/>
            </w:pPr>
            <w:r w:rsidRPr="00676BC6">
              <w:t>Australian equities</w:t>
            </w:r>
          </w:p>
        </w:tc>
        <w:tc>
          <w:tcPr>
            <w:tcW w:w="1285" w:type="dxa"/>
          </w:tcPr>
          <w:p w14:paraId="384FADB7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20%</w:t>
            </w:r>
          </w:p>
        </w:tc>
        <w:tc>
          <w:tcPr>
            <w:tcW w:w="1134" w:type="dxa"/>
          </w:tcPr>
          <w:p w14:paraId="63C81D38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10%</w:t>
            </w:r>
          </w:p>
        </w:tc>
        <w:tc>
          <w:tcPr>
            <w:tcW w:w="1134" w:type="dxa"/>
          </w:tcPr>
          <w:p w14:paraId="0F15E216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40%</w:t>
            </w:r>
          </w:p>
        </w:tc>
      </w:tr>
      <w:tr w:rsidR="00676BC6" w:rsidRPr="00676BC6" w14:paraId="4E948D2D" w14:textId="77777777" w:rsidTr="004910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DCB2286" w14:textId="77777777" w:rsidR="00676BC6" w:rsidRPr="00676BC6" w:rsidRDefault="00676BC6" w:rsidP="00676BC6">
            <w:pPr>
              <w:spacing w:after="160" w:line="259" w:lineRule="auto"/>
              <w:jc w:val="center"/>
            </w:pPr>
            <w:r w:rsidRPr="00676BC6">
              <w:t>International equities</w:t>
            </w:r>
          </w:p>
        </w:tc>
        <w:tc>
          <w:tcPr>
            <w:tcW w:w="1285" w:type="dxa"/>
          </w:tcPr>
          <w:p w14:paraId="24F85050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30%</w:t>
            </w:r>
          </w:p>
        </w:tc>
        <w:tc>
          <w:tcPr>
            <w:tcW w:w="1134" w:type="dxa"/>
          </w:tcPr>
          <w:p w14:paraId="652DDA9D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10%</w:t>
            </w:r>
          </w:p>
        </w:tc>
        <w:tc>
          <w:tcPr>
            <w:tcW w:w="1134" w:type="dxa"/>
          </w:tcPr>
          <w:p w14:paraId="2B2892CD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40%</w:t>
            </w:r>
          </w:p>
        </w:tc>
      </w:tr>
      <w:tr w:rsidR="00676BC6" w:rsidRPr="00676BC6" w14:paraId="2D705FC9" w14:textId="77777777" w:rsidTr="00491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3F8D4DC" w14:textId="77777777" w:rsidR="00676BC6" w:rsidRPr="00676BC6" w:rsidRDefault="00676BC6" w:rsidP="00676BC6">
            <w:pPr>
              <w:spacing w:after="160" w:line="259" w:lineRule="auto"/>
              <w:jc w:val="center"/>
            </w:pPr>
            <w:r w:rsidRPr="00676BC6">
              <w:t>Fixed interest</w:t>
            </w:r>
          </w:p>
        </w:tc>
        <w:tc>
          <w:tcPr>
            <w:tcW w:w="1285" w:type="dxa"/>
          </w:tcPr>
          <w:p w14:paraId="6C0AC9C5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15%</w:t>
            </w:r>
          </w:p>
        </w:tc>
        <w:tc>
          <w:tcPr>
            <w:tcW w:w="1134" w:type="dxa"/>
          </w:tcPr>
          <w:p w14:paraId="74EB8033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0%</w:t>
            </w:r>
          </w:p>
        </w:tc>
        <w:tc>
          <w:tcPr>
            <w:tcW w:w="1134" w:type="dxa"/>
          </w:tcPr>
          <w:p w14:paraId="09A22BA0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30%</w:t>
            </w:r>
          </w:p>
        </w:tc>
      </w:tr>
      <w:tr w:rsidR="00676BC6" w:rsidRPr="00676BC6" w14:paraId="7782DF9F" w14:textId="77777777" w:rsidTr="004910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B176082" w14:textId="77777777" w:rsidR="00676BC6" w:rsidRPr="00676BC6" w:rsidRDefault="00676BC6" w:rsidP="00676BC6">
            <w:pPr>
              <w:spacing w:after="160" w:line="259" w:lineRule="auto"/>
              <w:jc w:val="center"/>
            </w:pPr>
            <w:r w:rsidRPr="00676BC6">
              <w:t>Property</w:t>
            </w:r>
          </w:p>
        </w:tc>
        <w:tc>
          <w:tcPr>
            <w:tcW w:w="1285" w:type="dxa"/>
          </w:tcPr>
          <w:p w14:paraId="5ADE47CC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10%</w:t>
            </w:r>
          </w:p>
        </w:tc>
        <w:tc>
          <w:tcPr>
            <w:tcW w:w="1134" w:type="dxa"/>
          </w:tcPr>
          <w:p w14:paraId="1C753E85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0%</w:t>
            </w:r>
          </w:p>
        </w:tc>
        <w:tc>
          <w:tcPr>
            <w:tcW w:w="1134" w:type="dxa"/>
          </w:tcPr>
          <w:p w14:paraId="58EC2CE3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20%</w:t>
            </w:r>
          </w:p>
        </w:tc>
      </w:tr>
      <w:tr w:rsidR="00676BC6" w:rsidRPr="00676BC6" w14:paraId="4EC49FAA" w14:textId="77777777" w:rsidTr="00491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2C9CAD3" w14:textId="77777777" w:rsidR="00676BC6" w:rsidRPr="00676BC6" w:rsidRDefault="00676BC6" w:rsidP="00676BC6">
            <w:pPr>
              <w:spacing w:after="160" w:line="259" w:lineRule="auto"/>
              <w:jc w:val="center"/>
            </w:pPr>
            <w:r w:rsidRPr="00676BC6">
              <w:lastRenderedPageBreak/>
              <w:t>Infrastructure</w:t>
            </w:r>
          </w:p>
        </w:tc>
        <w:tc>
          <w:tcPr>
            <w:tcW w:w="1285" w:type="dxa"/>
          </w:tcPr>
          <w:p w14:paraId="4276E86E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10%</w:t>
            </w:r>
          </w:p>
        </w:tc>
        <w:tc>
          <w:tcPr>
            <w:tcW w:w="1134" w:type="dxa"/>
          </w:tcPr>
          <w:p w14:paraId="66BF8D77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0%</w:t>
            </w:r>
          </w:p>
        </w:tc>
        <w:tc>
          <w:tcPr>
            <w:tcW w:w="1134" w:type="dxa"/>
          </w:tcPr>
          <w:p w14:paraId="5DA2EF56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40%</w:t>
            </w:r>
          </w:p>
        </w:tc>
      </w:tr>
      <w:tr w:rsidR="00676BC6" w:rsidRPr="00676BC6" w14:paraId="398120FD" w14:textId="77777777" w:rsidTr="004910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82E2C66" w14:textId="77777777" w:rsidR="00676BC6" w:rsidRPr="00676BC6" w:rsidRDefault="00676BC6" w:rsidP="00676BC6">
            <w:pPr>
              <w:spacing w:after="160" w:line="259" w:lineRule="auto"/>
              <w:jc w:val="center"/>
            </w:pPr>
            <w:r w:rsidRPr="00676BC6">
              <w:t>Alternatives</w:t>
            </w:r>
          </w:p>
        </w:tc>
        <w:tc>
          <w:tcPr>
            <w:tcW w:w="1285" w:type="dxa"/>
          </w:tcPr>
          <w:p w14:paraId="4E6A379F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10%</w:t>
            </w:r>
          </w:p>
        </w:tc>
        <w:tc>
          <w:tcPr>
            <w:tcW w:w="1134" w:type="dxa"/>
          </w:tcPr>
          <w:p w14:paraId="5BE49E2F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0%</w:t>
            </w:r>
          </w:p>
        </w:tc>
        <w:tc>
          <w:tcPr>
            <w:tcW w:w="1134" w:type="dxa"/>
          </w:tcPr>
          <w:p w14:paraId="6C955F97" w14:textId="77777777" w:rsidR="00676BC6" w:rsidRPr="00676BC6" w:rsidRDefault="00676BC6" w:rsidP="00676BC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BC6">
              <w:t>20%</w:t>
            </w:r>
          </w:p>
        </w:tc>
      </w:tr>
      <w:tr w:rsidR="00676BC6" w:rsidRPr="00676BC6" w14:paraId="36785277" w14:textId="77777777" w:rsidTr="00491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9DB4A93" w14:textId="77777777" w:rsidR="00676BC6" w:rsidRPr="00676BC6" w:rsidRDefault="00676BC6" w:rsidP="00676BC6">
            <w:pPr>
              <w:spacing w:after="160" w:line="259" w:lineRule="auto"/>
              <w:jc w:val="center"/>
            </w:pPr>
            <w:r w:rsidRPr="00676BC6">
              <w:t>Cash</w:t>
            </w:r>
          </w:p>
        </w:tc>
        <w:tc>
          <w:tcPr>
            <w:tcW w:w="1285" w:type="dxa"/>
          </w:tcPr>
          <w:p w14:paraId="5CC8B9E0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5%</w:t>
            </w:r>
          </w:p>
        </w:tc>
        <w:tc>
          <w:tcPr>
            <w:tcW w:w="1134" w:type="dxa"/>
          </w:tcPr>
          <w:p w14:paraId="1B8FA35D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0%</w:t>
            </w:r>
          </w:p>
        </w:tc>
        <w:tc>
          <w:tcPr>
            <w:tcW w:w="1134" w:type="dxa"/>
          </w:tcPr>
          <w:p w14:paraId="707AEA38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10%</w:t>
            </w:r>
          </w:p>
        </w:tc>
      </w:tr>
    </w:tbl>
    <w:p w14:paraId="41007D44" w14:textId="15B91183" w:rsidR="00676BC6" w:rsidRDefault="00676BC6" w:rsidP="00CE3772">
      <w:pPr>
        <w:numPr>
          <w:ilvl w:val="0"/>
          <w:numId w:val="0"/>
        </w:num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</w:p>
    <w:p w14:paraId="7AA7E2E9" w14:textId="77777777" w:rsidR="00CE3772" w:rsidRPr="00676BC6" w:rsidRDefault="00CE3772" w:rsidP="00CE3772">
      <w:pPr>
        <w:numPr>
          <w:ilvl w:val="0"/>
          <w:numId w:val="0"/>
        </w:num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</w:p>
    <w:tbl>
      <w:tblPr>
        <w:tblStyle w:val="GridTable4-Accent5"/>
        <w:tblW w:w="0" w:type="auto"/>
        <w:jc w:val="center"/>
        <w:tblLook w:val="04A0" w:firstRow="1" w:lastRow="0" w:firstColumn="1" w:lastColumn="0" w:noHBand="0" w:noVBand="1"/>
      </w:tblPr>
      <w:tblGrid>
        <w:gridCol w:w="2274"/>
        <w:gridCol w:w="1265"/>
        <w:gridCol w:w="1134"/>
        <w:gridCol w:w="1134"/>
      </w:tblGrid>
      <w:tr w:rsidR="00676BC6" w:rsidRPr="00676BC6" w14:paraId="164FE56F" w14:textId="77777777" w:rsidTr="00491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14:paraId="4AD271F8" w14:textId="77777777" w:rsidR="00676BC6" w:rsidRPr="00676BC6" w:rsidRDefault="00676BC6" w:rsidP="00676BC6">
            <w:pPr>
              <w:spacing w:after="160" w:line="259" w:lineRule="auto"/>
              <w:jc w:val="center"/>
              <w:rPr>
                <w:color w:val="auto"/>
              </w:rPr>
            </w:pPr>
          </w:p>
        </w:tc>
        <w:tc>
          <w:tcPr>
            <w:tcW w:w="1265" w:type="dxa"/>
          </w:tcPr>
          <w:p w14:paraId="066B0FE3" w14:textId="77777777" w:rsidR="00676BC6" w:rsidRPr="00676BC6" w:rsidRDefault="00676BC6" w:rsidP="00676B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BC6">
              <w:rPr>
                <w:color w:val="auto"/>
              </w:rPr>
              <w:t>Target</w:t>
            </w:r>
          </w:p>
        </w:tc>
        <w:tc>
          <w:tcPr>
            <w:tcW w:w="1134" w:type="dxa"/>
          </w:tcPr>
          <w:p w14:paraId="544D344E" w14:textId="77777777" w:rsidR="00676BC6" w:rsidRPr="00676BC6" w:rsidRDefault="00676BC6" w:rsidP="00676B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BC6">
              <w:rPr>
                <w:color w:val="auto"/>
              </w:rPr>
              <w:t>Lower</w:t>
            </w:r>
          </w:p>
        </w:tc>
        <w:tc>
          <w:tcPr>
            <w:tcW w:w="1134" w:type="dxa"/>
          </w:tcPr>
          <w:p w14:paraId="30DC810F" w14:textId="77777777" w:rsidR="00676BC6" w:rsidRPr="00676BC6" w:rsidRDefault="00676BC6" w:rsidP="00676B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76BC6">
              <w:rPr>
                <w:color w:val="auto"/>
              </w:rPr>
              <w:t>Upper</w:t>
            </w:r>
          </w:p>
        </w:tc>
      </w:tr>
      <w:tr w:rsidR="00676BC6" w:rsidRPr="00676BC6" w14:paraId="4CAC8190" w14:textId="77777777" w:rsidTr="00491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4" w:type="dxa"/>
          </w:tcPr>
          <w:p w14:paraId="122183A8" w14:textId="77777777" w:rsidR="00676BC6" w:rsidRPr="00676BC6" w:rsidRDefault="00676BC6" w:rsidP="00676BC6">
            <w:pPr>
              <w:spacing w:after="160" w:line="259" w:lineRule="auto"/>
              <w:jc w:val="center"/>
            </w:pPr>
            <w:r w:rsidRPr="00676BC6">
              <w:t>Currency Exposure</w:t>
            </w:r>
          </w:p>
        </w:tc>
        <w:tc>
          <w:tcPr>
            <w:tcW w:w="1265" w:type="dxa"/>
          </w:tcPr>
          <w:p w14:paraId="2AC47D94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20%</w:t>
            </w:r>
          </w:p>
        </w:tc>
        <w:tc>
          <w:tcPr>
            <w:tcW w:w="1134" w:type="dxa"/>
          </w:tcPr>
          <w:p w14:paraId="4F125D6C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15%</w:t>
            </w:r>
          </w:p>
        </w:tc>
        <w:tc>
          <w:tcPr>
            <w:tcW w:w="1134" w:type="dxa"/>
          </w:tcPr>
          <w:p w14:paraId="0E96DD17" w14:textId="77777777" w:rsidR="00676BC6" w:rsidRPr="00676BC6" w:rsidRDefault="00676BC6" w:rsidP="00676BC6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BC6">
              <w:t>25%</w:t>
            </w:r>
          </w:p>
        </w:tc>
      </w:tr>
    </w:tbl>
    <w:p w14:paraId="10F352B9" w14:textId="77777777" w:rsidR="00676BC6" w:rsidRPr="00676BC6" w:rsidRDefault="00676BC6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</w:p>
    <w:p w14:paraId="61B93BC7" w14:textId="77777777" w:rsidR="00676BC6" w:rsidRPr="00676BC6" w:rsidRDefault="00676BC6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 w:rsidRPr="00676BC6">
        <w:rPr>
          <w:rFonts w:asciiTheme="minorHAnsi" w:eastAsia="Times New Roman" w:hAnsiTheme="minorHAnsi" w:cs="Cordia New"/>
          <w:color w:val="auto"/>
        </w:rPr>
        <w:t>XYZ Superannuation submit the following high-level and low-level strategic asset allocation:</w:t>
      </w:r>
    </w:p>
    <w:p w14:paraId="1A372074" w14:textId="77777777" w:rsidR="00676BC6" w:rsidRPr="00676BC6" w:rsidRDefault="00676BC6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 w:rsidRPr="00676BC6">
        <w:rPr>
          <w:rFonts w:asciiTheme="minorHAnsi" w:eastAsia="Times New Roman" w:hAnsiTheme="minorHAnsi" w:cs="Cordia New"/>
          <w:noProof/>
          <w:color w:val="auto"/>
          <w:lang w:eastAsia="en-AU"/>
        </w:rPr>
        <w:drawing>
          <wp:inline distT="0" distB="0" distL="0" distR="0" wp14:anchorId="3324F93E" wp14:editId="2C7A9E89">
            <wp:extent cx="5657850" cy="1181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4CFD7" w14:textId="77777777" w:rsidR="00676BC6" w:rsidRPr="00676BC6" w:rsidRDefault="00676BC6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 w:rsidRPr="00676BC6">
        <w:rPr>
          <w:rFonts w:asciiTheme="minorHAnsi" w:eastAsia="Times New Roman" w:hAnsiTheme="minorHAnsi" w:cs="Cordia New"/>
          <w:noProof/>
          <w:color w:val="auto"/>
          <w:lang w:eastAsia="en-AU"/>
        </w:rPr>
        <w:drawing>
          <wp:inline distT="0" distB="0" distL="0" distR="0" wp14:anchorId="7720AD88" wp14:editId="3BAE2A5A">
            <wp:extent cx="5676900" cy="466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652CF" w14:textId="77777777" w:rsidR="00676BC6" w:rsidRPr="00676BC6" w:rsidRDefault="00676BC6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 w:rsidRPr="00676BC6">
        <w:rPr>
          <w:rFonts w:asciiTheme="minorHAnsi" w:eastAsia="Times New Roman" w:hAnsiTheme="minorHAnsi" w:cs="Cordia New"/>
          <w:color w:val="auto"/>
        </w:rPr>
        <w:t>As XYZ Superannuation set their currency exposure at the investment option level, they report the currency exposure target using the “Currency Exposure” high level strategic sector.</w:t>
      </w:r>
    </w:p>
    <w:p w14:paraId="45A391A9" w14:textId="77777777" w:rsidR="00676BC6" w:rsidRPr="00676BC6" w:rsidRDefault="00676BC6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 w:rsidRPr="00676BC6">
        <w:rPr>
          <w:rFonts w:asciiTheme="minorHAnsi" w:eastAsia="Times New Roman" w:hAnsiTheme="minorHAnsi" w:cs="Cordia New"/>
          <w:color w:val="auto"/>
        </w:rPr>
        <w:t>Additionally, as XYZ Superannuation do not require further granularity in describing their strategic asset allocation than what’s available in the high-level, they submit “No” for column 2.4 for the investment option.</w:t>
      </w:r>
    </w:p>
    <w:p w14:paraId="5C102624" w14:textId="72941E39" w:rsidR="006B659A" w:rsidRPr="006B659A" w:rsidRDefault="006B659A" w:rsidP="006B659A">
      <w:pPr>
        <w:numPr>
          <w:ilvl w:val="0"/>
          <w:numId w:val="0"/>
        </w:num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 w:rsidRPr="00FE67BC">
        <w:rPr>
          <w:b/>
        </w:rPr>
        <w:t>DEF Superannuation</w:t>
      </w:r>
    </w:p>
    <w:p w14:paraId="7C1B3170" w14:textId="400C4950" w:rsidR="006B659A" w:rsidRDefault="00512305" w:rsidP="006B659A">
      <w:pPr>
        <w:numPr>
          <w:ilvl w:val="0"/>
          <w:numId w:val="0"/>
        </w:num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>
        <w:rPr>
          <w:rFonts w:asciiTheme="minorHAnsi" w:eastAsia="Times New Roman" w:hAnsiTheme="minorHAnsi" w:cs="Cordia New"/>
          <w:color w:val="auto"/>
        </w:rPr>
        <w:t>DEF Superannuation offers a range of investment options, some of which are managed funds and model portfolios offered by investment managers external to the fund. Two such options are the Investment Manager A Global Fund and the Investment Mana</w:t>
      </w:r>
      <w:r w:rsidR="00BC22E4">
        <w:rPr>
          <w:rFonts w:asciiTheme="minorHAnsi" w:eastAsia="Times New Roman" w:hAnsiTheme="minorHAnsi" w:cs="Cordia New"/>
          <w:color w:val="auto"/>
        </w:rPr>
        <w:t>ger B Equities</w:t>
      </w:r>
      <w:r>
        <w:rPr>
          <w:rFonts w:asciiTheme="minorHAnsi" w:eastAsia="Times New Roman" w:hAnsiTheme="minorHAnsi" w:cs="Cordia New"/>
          <w:color w:val="auto"/>
        </w:rPr>
        <w:t xml:space="preserve"> Model Portfolio.</w:t>
      </w:r>
    </w:p>
    <w:p w14:paraId="095438AB" w14:textId="6F496F11" w:rsidR="00512305" w:rsidRDefault="00512305" w:rsidP="006B659A">
      <w:pPr>
        <w:numPr>
          <w:ilvl w:val="0"/>
          <w:numId w:val="0"/>
        </w:num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>
        <w:rPr>
          <w:rFonts w:asciiTheme="minorHAnsi" w:eastAsia="Times New Roman" w:hAnsiTheme="minorHAnsi" w:cs="Cordia New"/>
          <w:color w:val="auto"/>
        </w:rPr>
        <w:t xml:space="preserve">In disclosing the strategic asset allocation of the Investment </w:t>
      </w:r>
      <w:proofErr w:type="gramStart"/>
      <w:r>
        <w:rPr>
          <w:rFonts w:asciiTheme="minorHAnsi" w:eastAsia="Times New Roman" w:hAnsiTheme="minorHAnsi" w:cs="Cordia New"/>
          <w:color w:val="auto"/>
        </w:rPr>
        <w:t>Manager</w:t>
      </w:r>
      <w:proofErr w:type="gramEnd"/>
      <w:r>
        <w:rPr>
          <w:rFonts w:asciiTheme="minorHAnsi" w:eastAsia="Times New Roman" w:hAnsiTheme="minorHAnsi" w:cs="Cordia New"/>
          <w:color w:val="auto"/>
        </w:rPr>
        <w:t xml:space="preserve"> A Global Fund, DEF Superannuation reports the following:</w:t>
      </w:r>
    </w:p>
    <w:p w14:paraId="3A094AEF" w14:textId="0E4547BD" w:rsidR="00963B90" w:rsidRDefault="007012CB" w:rsidP="006B659A">
      <w:pPr>
        <w:numPr>
          <w:ilvl w:val="0"/>
          <w:numId w:val="0"/>
        </w:num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>
        <w:rPr>
          <w:noProof/>
          <w:lang w:eastAsia="en-AU"/>
        </w:rPr>
        <w:drawing>
          <wp:inline distT="0" distB="0" distL="0" distR="0" wp14:anchorId="57F3BC35" wp14:editId="157E30AD">
            <wp:extent cx="5731510" cy="59817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E162B" w14:textId="1445081E" w:rsidR="007012CB" w:rsidRDefault="007012CB" w:rsidP="006B659A">
      <w:pPr>
        <w:numPr>
          <w:ilvl w:val="0"/>
          <w:numId w:val="0"/>
        </w:num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>
        <w:rPr>
          <w:noProof/>
          <w:lang w:eastAsia="en-AU"/>
        </w:rPr>
        <w:drawing>
          <wp:inline distT="0" distB="0" distL="0" distR="0" wp14:anchorId="37552910" wp14:editId="19905B66">
            <wp:extent cx="5731510" cy="476250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7C8FD" w14:textId="77777777" w:rsidR="00224B5F" w:rsidRDefault="00224B5F" w:rsidP="00512305">
      <w:pPr>
        <w:numPr>
          <w:ilvl w:val="0"/>
          <w:numId w:val="0"/>
        </w:num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</w:p>
    <w:p w14:paraId="796B52BB" w14:textId="2E92CDEB" w:rsidR="00512305" w:rsidRDefault="00512305" w:rsidP="00512305">
      <w:pPr>
        <w:numPr>
          <w:ilvl w:val="0"/>
          <w:numId w:val="0"/>
        </w:num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>
        <w:rPr>
          <w:rFonts w:asciiTheme="minorHAnsi" w:eastAsia="Times New Roman" w:hAnsiTheme="minorHAnsi" w:cs="Cordia New"/>
          <w:color w:val="auto"/>
        </w:rPr>
        <w:lastRenderedPageBreak/>
        <w:t xml:space="preserve">In disclosing the strategic asset allocation of the Investment Manager B </w:t>
      </w:r>
      <w:r w:rsidR="00BC22E4">
        <w:rPr>
          <w:rFonts w:asciiTheme="minorHAnsi" w:eastAsia="Times New Roman" w:hAnsiTheme="minorHAnsi" w:cs="Cordia New"/>
          <w:color w:val="auto"/>
        </w:rPr>
        <w:t>Equities</w:t>
      </w:r>
      <w:r>
        <w:rPr>
          <w:rFonts w:asciiTheme="minorHAnsi" w:eastAsia="Times New Roman" w:hAnsiTheme="minorHAnsi" w:cs="Cordia New"/>
          <w:color w:val="auto"/>
        </w:rPr>
        <w:t xml:space="preserve"> Model Portfolio, DEF Superannuation reports the following:</w:t>
      </w:r>
    </w:p>
    <w:p w14:paraId="25D6ECFD" w14:textId="145D8E4A" w:rsidR="00512305" w:rsidRDefault="00556573" w:rsidP="006B659A">
      <w:pPr>
        <w:numPr>
          <w:ilvl w:val="0"/>
          <w:numId w:val="0"/>
        </w:num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>
        <w:rPr>
          <w:noProof/>
          <w:lang w:eastAsia="en-AU"/>
        </w:rPr>
        <w:drawing>
          <wp:inline distT="0" distB="0" distL="0" distR="0" wp14:anchorId="7026723F" wp14:editId="7166EB4B">
            <wp:extent cx="5731510" cy="767715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E8D40" w14:textId="1B8D3458" w:rsidR="00556573" w:rsidRDefault="00556573" w:rsidP="006B659A">
      <w:pPr>
        <w:numPr>
          <w:ilvl w:val="0"/>
          <w:numId w:val="0"/>
        </w:num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>
        <w:rPr>
          <w:noProof/>
          <w:lang w:eastAsia="en-AU"/>
        </w:rPr>
        <w:drawing>
          <wp:inline distT="0" distB="0" distL="0" distR="0" wp14:anchorId="131DCF17" wp14:editId="323BB047">
            <wp:extent cx="5731510" cy="476250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54074" w14:textId="1D4BE757" w:rsidR="006B659A" w:rsidRDefault="005B5B43" w:rsidP="006B659A">
      <w:pPr>
        <w:numPr>
          <w:ilvl w:val="0"/>
          <w:numId w:val="0"/>
        </w:num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>
        <w:rPr>
          <w:rFonts w:asciiTheme="minorHAnsi" w:eastAsia="Times New Roman" w:hAnsiTheme="minorHAnsi" w:cs="Cordia New"/>
          <w:color w:val="auto"/>
        </w:rPr>
        <w:t>While members invested in model portfolios are at liberty to alter their investment strategy from that of the model, the strategic allocations of said model are still required.</w:t>
      </w:r>
    </w:p>
    <w:p w14:paraId="4BD8694D" w14:textId="77777777" w:rsidR="00512305" w:rsidRPr="00676BC6" w:rsidRDefault="00512305" w:rsidP="006B659A">
      <w:pPr>
        <w:numPr>
          <w:ilvl w:val="0"/>
          <w:numId w:val="0"/>
        </w:num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</w:p>
    <w:p w14:paraId="41C599D7" w14:textId="73D68DE7" w:rsidR="00676BC6" w:rsidRPr="00676BC6" w:rsidRDefault="00294033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b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="Cordia New"/>
          <w:b/>
          <w:bCs/>
          <w:color w:val="auto"/>
          <w:sz w:val="24"/>
          <w:szCs w:val="24"/>
        </w:rPr>
        <w:t xml:space="preserve">SRF 550.0: Table 2, </w:t>
      </w:r>
      <w:r w:rsidR="00676BC6" w:rsidRPr="00676BC6">
        <w:rPr>
          <w:rFonts w:asciiTheme="minorHAnsi" w:eastAsia="Times New Roman" w:hAnsiTheme="minorHAnsi" w:cs="Cordia New"/>
          <w:b/>
          <w:bCs/>
          <w:color w:val="auto"/>
          <w:sz w:val="24"/>
          <w:szCs w:val="24"/>
        </w:rPr>
        <w:t>Actual Asset Allocation</w:t>
      </w:r>
    </w:p>
    <w:p w14:paraId="54AB9988" w14:textId="77777777" w:rsidR="00676BC6" w:rsidRPr="00A36A08" w:rsidRDefault="00A36A08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b/>
          <w:color w:val="auto"/>
        </w:rPr>
      </w:pPr>
      <w:r w:rsidRPr="00A36A08">
        <w:rPr>
          <w:rFonts w:asciiTheme="minorHAnsi" w:eastAsia="Times New Roman" w:hAnsiTheme="minorHAnsi" w:cs="Cordia New"/>
          <w:b/>
          <w:color w:val="auto"/>
        </w:rPr>
        <w:t>XYZ</w:t>
      </w:r>
      <w:r w:rsidR="00676BC6" w:rsidRPr="00676BC6">
        <w:rPr>
          <w:rFonts w:asciiTheme="minorHAnsi" w:eastAsia="Times New Roman" w:hAnsiTheme="minorHAnsi" w:cs="Cordia New"/>
          <w:b/>
          <w:color w:val="auto"/>
        </w:rPr>
        <w:t xml:space="preserve"> Superannuation</w:t>
      </w:r>
    </w:p>
    <w:p w14:paraId="562DDABC" w14:textId="77777777" w:rsidR="00591162" w:rsidRDefault="00A36A08" w:rsidP="00A36A08">
      <w:pPr>
        <w:numPr>
          <w:ilvl w:val="0"/>
          <w:numId w:val="0"/>
        </w:num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>
        <w:rPr>
          <w:rFonts w:asciiTheme="minorHAnsi" w:eastAsia="Times New Roman" w:hAnsiTheme="minorHAnsi" w:cs="Cordia New"/>
          <w:color w:val="auto"/>
        </w:rPr>
        <w:t xml:space="preserve">XYZ Superannuation </w:t>
      </w:r>
      <w:r w:rsidR="004D1DB7">
        <w:rPr>
          <w:rFonts w:asciiTheme="minorHAnsi" w:eastAsia="Times New Roman" w:hAnsiTheme="minorHAnsi" w:cs="Cordia New"/>
          <w:color w:val="auto"/>
        </w:rPr>
        <w:t>invest</w:t>
      </w:r>
      <w:r w:rsidR="00591162">
        <w:rPr>
          <w:rFonts w:asciiTheme="minorHAnsi" w:eastAsia="Times New Roman" w:hAnsiTheme="minorHAnsi" w:cs="Cordia New"/>
          <w:color w:val="auto"/>
        </w:rPr>
        <w:t>s</w:t>
      </w:r>
      <w:r w:rsidR="004D1DB7">
        <w:rPr>
          <w:rFonts w:asciiTheme="minorHAnsi" w:eastAsia="Times New Roman" w:hAnsiTheme="minorHAnsi" w:cs="Cordia New"/>
          <w:color w:val="auto"/>
        </w:rPr>
        <w:t xml:space="preserve"> assets of the XYZ Balanced option in a broad range of strategic sectors </w:t>
      </w:r>
      <w:r w:rsidR="00591162">
        <w:rPr>
          <w:rFonts w:asciiTheme="minorHAnsi" w:eastAsia="Times New Roman" w:hAnsiTheme="minorHAnsi" w:cs="Cordia New"/>
          <w:color w:val="auto"/>
        </w:rPr>
        <w:t xml:space="preserve">embodying a number of asset class characteristic combinations. Within the </w:t>
      </w:r>
      <w:r w:rsidR="00B33DF7">
        <w:rPr>
          <w:rFonts w:asciiTheme="minorHAnsi" w:eastAsia="Times New Roman" w:hAnsiTheme="minorHAnsi" w:cs="Cordia New"/>
          <w:color w:val="auto"/>
        </w:rPr>
        <w:t xml:space="preserve">listed </w:t>
      </w:r>
      <w:r w:rsidR="00591162">
        <w:rPr>
          <w:rFonts w:asciiTheme="minorHAnsi" w:eastAsia="Times New Roman" w:hAnsiTheme="minorHAnsi" w:cs="Cordia New"/>
          <w:color w:val="auto"/>
        </w:rPr>
        <w:t>international equities asset class</w:t>
      </w:r>
      <w:r w:rsidR="00DA733E">
        <w:rPr>
          <w:rFonts w:asciiTheme="minorHAnsi" w:eastAsia="Times New Roman" w:hAnsiTheme="minorHAnsi" w:cs="Cordia New"/>
          <w:color w:val="auto"/>
        </w:rPr>
        <w:t>,</w:t>
      </w:r>
      <w:r w:rsidR="00591162">
        <w:rPr>
          <w:rFonts w:asciiTheme="minorHAnsi" w:eastAsia="Times New Roman" w:hAnsiTheme="minorHAnsi" w:cs="Cordia New"/>
          <w:color w:val="auto"/>
        </w:rPr>
        <w:t xml:space="preserve"> members are exposed to equities ranging from </w:t>
      </w:r>
      <w:proofErr w:type="spellStart"/>
      <w:r w:rsidR="00DA733E">
        <w:rPr>
          <w:rFonts w:asciiTheme="minorHAnsi" w:eastAsia="Times New Roman" w:hAnsiTheme="minorHAnsi" w:cs="Cordia New"/>
          <w:color w:val="auto"/>
        </w:rPr>
        <w:t>micro</w:t>
      </w:r>
      <w:r w:rsidR="00591162">
        <w:rPr>
          <w:rFonts w:asciiTheme="minorHAnsi" w:eastAsia="Times New Roman" w:hAnsiTheme="minorHAnsi" w:cs="Cordia New"/>
          <w:color w:val="auto"/>
        </w:rPr>
        <w:t xml:space="preserve"> cap</w:t>
      </w:r>
      <w:proofErr w:type="spellEnd"/>
      <w:r w:rsidR="00591162">
        <w:rPr>
          <w:rFonts w:asciiTheme="minorHAnsi" w:eastAsia="Times New Roman" w:hAnsiTheme="minorHAnsi" w:cs="Cordia New"/>
          <w:color w:val="auto"/>
        </w:rPr>
        <w:t xml:space="preserve"> to </w:t>
      </w:r>
      <w:r w:rsidR="00DA733E">
        <w:rPr>
          <w:rFonts w:asciiTheme="minorHAnsi" w:eastAsia="Times New Roman" w:hAnsiTheme="minorHAnsi" w:cs="Cordia New"/>
          <w:color w:val="auto"/>
        </w:rPr>
        <w:t>large</w:t>
      </w:r>
      <w:r w:rsidR="00591162">
        <w:rPr>
          <w:rFonts w:asciiTheme="minorHAnsi" w:eastAsia="Times New Roman" w:hAnsiTheme="minorHAnsi" w:cs="Cordia New"/>
          <w:color w:val="auto"/>
        </w:rPr>
        <w:t xml:space="preserve"> cap, stemming from both developed and emerging markets and invested into using both active and passive management strategies. </w:t>
      </w:r>
    </w:p>
    <w:p w14:paraId="382D4074" w14:textId="77777777" w:rsidR="00591162" w:rsidRDefault="00591162" w:rsidP="00A36A08">
      <w:pPr>
        <w:numPr>
          <w:ilvl w:val="0"/>
          <w:numId w:val="0"/>
        </w:num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>
        <w:rPr>
          <w:rFonts w:asciiTheme="minorHAnsi" w:eastAsia="Times New Roman" w:hAnsiTheme="minorHAnsi" w:cs="Cordia New"/>
          <w:color w:val="auto"/>
        </w:rPr>
        <w:t>XYZ Superannuation report</w:t>
      </w:r>
      <w:r w:rsidR="00B33DF7">
        <w:rPr>
          <w:rFonts w:asciiTheme="minorHAnsi" w:eastAsia="Times New Roman" w:hAnsiTheme="minorHAnsi" w:cs="Cordia New"/>
          <w:color w:val="auto"/>
        </w:rPr>
        <w:t xml:space="preserve"> listed</w:t>
      </w:r>
      <w:r>
        <w:rPr>
          <w:rFonts w:asciiTheme="minorHAnsi" w:eastAsia="Times New Roman" w:hAnsiTheme="minorHAnsi" w:cs="Cordia New"/>
          <w:color w:val="auto"/>
        </w:rPr>
        <w:t xml:space="preserve"> international equity </w:t>
      </w:r>
      <w:r w:rsidR="00DA733E">
        <w:rPr>
          <w:rFonts w:asciiTheme="minorHAnsi" w:eastAsia="Times New Roman" w:hAnsiTheme="minorHAnsi" w:cs="Cordia New"/>
          <w:color w:val="auto"/>
        </w:rPr>
        <w:t xml:space="preserve">and currency exposure </w:t>
      </w:r>
      <w:r>
        <w:rPr>
          <w:rFonts w:asciiTheme="minorHAnsi" w:eastAsia="Times New Roman" w:hAnsiTheme="minorHAnsi" w:cs="Cordia New"/>
          <w:color w:val="auto"/>
        </w:rPr>
        <w:t>investments through the following submission:</w:t>
      </w:r>
    </w:p>
    <w:p w14:paraId="3B0E7A08" w14:textId="77777777" w:rsidR="00A36A08" w:rsidRPr="00676BC6" w:rsidRDefault="00A36A08" w:rsidP="00A36A08">
      <w:pPr>
        <w:numPr>
          <w:ilvl w:val="0"/>
          <w:numId w:val="0"/>
        </w:num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  <w:r>
        <w:rPr>
          <w:noProof/>
          <w:lang w:eastAsia="en-AU"/>
        </w:rPr>
        <w:drawing>
          <wp:inline distT="0" distB="0" distL="0" distR="0" wp14:anchorId="239B808F" wp14:editId="1F9FBAD4">
            <wp:extent cx="5731510" cy="244411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C6138" w14:textId="77777777" w:rsidR="00676BC6" w:rsidRPr="00676BC6" w:rsidRDefault="00676BC6" w:rsidP="00676BC6">
      <w:pPr>
        <w:spacing w:after="160" w:line="259" w:lineRule="auto"/>
        <w:jc w:val="left"/>
        <w:rPr>
          <w:rFonts w:asciiTheme="minorHAnsi" w:eastAsia="Times New Roman" w:hAnsiTheme="minorHAnsi" w:cs="Cordia New"/>
          <w:color w:val="auto"/>
        </w:rPr>
      </w:pPr>
    </w:p>
    <w:p w14:paraId="19DA72CB" w14:textId="29E42928" w:rsidR="00A533A9" w:rsidRDefault="00834882" w:rsidP="00A34ADD">
      <w:r>
        <w:rPr>
          <w:noProof/>
          <w:lang w:eastAsia="en-AU"/>
        </w:rPr>
        <w:lastRenderedPageBreak/>
        <w:drawing>
          <wp:inline distT="0" distB="0" distL="0" distR="0" wp14:anchorId="310BB714" wp14:editId="7AB47742">
            <wp:extent cx="5731510" cy="2444115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29A3A" w14:textId="3CA73FE4" w:rsidR="00DA733E" w:rsidRDefault="00DA733E" w:rsidP="00DA733E">
      <w:pPr>
        <w:numPr>
          <w:ilvl w:val="0"/>
          <w:numId w:val="0"/>
        </w:numPr>
      </w:pPr>
      <w:r>
        <w:t>Note that for the sake of brevity, this is only a partial submission and investments pertaining to all the strategic sectors reported in the SAA would be expected to have</w:t>
      </w:r>
      <w:r w:rsidR="00FB7855">
        <w:t xml:space="preserve"> their exposures reported</w:t>
      </w:r>
      <w:r>
        <w:t>.</w:t>
      </w:r>
    </w:p>
    <w:p w14:paraId="0393A407" w14:textId="77777777" w:rsidR="00DA733E" w:rsidRDefault="00DA733E" w:rsidP="00DA733E">
      <w:pPr>
        <w:numPr>
          <w:ilvl w:val="0"/>
          <w:numId w:val="0"/>
        </w:numPr>
      </w:pPr>
      <w:r>
        <w:t>As XYZ Superannuation only has exposure to large cap equities from domestic markets</w:t>
      </w:r>
      <w:r w:rsidR="00B33DF7">
        <w:t xml:space="preserve"> within passive strategies, no further information is required for the passive asset class characteristic.</w:t>
      </w:r>
    </w:p>
    <w:p w14:paraId="50D20311" w14:textId="313C37FB" w:rsidR="002A7160" w:rsidRDefault="009D5B6E" w:rsidP="00DA733E">
      <w:pPr>
        <w:numPr>
          <w:ilvl w:val="0"/>
          <w:numId w:val="0"/>
        </w:numPr>
      </w:pPr>
      <w:r>
        <w:t xml:space="preserve">Note that as no gearing is used and, as the investment does not belong to the credit/fixed income high level strategic sector, modified duration is not applicable, </w:t>
      </w:r>
      <w:r w:rsidR="002A7160">
        <w:t>these variables are filled with zeroes and blanks respectively.</w:t>
      </w:r>
    </w:p>
    <w:p w14:paraId="6FBFEEE2" w14:textId="4CD69506" w:rsidR="002A7160" w:rsidRDefault="002A7160" w:rsidP="00DA733E">
      <w:pPr>
        <w:numPr>
          <w:ilvl w:val="0"/>
          <w:numId w:val="0"/>
        </w:numPr>
      </w:pPr>
      <w:r>
        <w:t>As synthetic exposure, currency hedging, gearing proportion and modified duration are not applicable to the currency exposure value, these are left blank.</w:t>
      </w:r>
    </w:p>
    <w:p w14:paraId="51923858" w14:textId="7C16F43F" w:rsidR="009D5B6E" w:rsidRPr="005B5B43" w:rsidRDefault="005B5B43" w:rsidP="00DA733E">
      <w:pPr>
        <w:numPr>
          <w:ilvl w:val="0"/>
          <w:numId w:val="0"/>
        </w:numPr>
        <w:rPr>
          <w:b/>
        </w:rPr>
      </w:pPr>
      <w:r w:rsidRPr="005B5B43">
        <w:rPr>
          <w:b/>
        </w:rPr>
        <w:t>DEF Superannuation</w:t>
      </w:r>
    </w:p>
    <w:p w14:paraId="5BE2A416" w14:textId="65DB25F4" w:rsidR="009D5B6E" w:rsidRDefault="00224B5F" w:rsidP="00DA733E">
      <w:pPr>
        <w:numPr>
          <w:ilvl w:val="0"/>
          <w:numId w:val="0"/>
        </w:numPr>
      </w:pPr>
      <w:r>
        <w:t>Borrowing from the earlier example for DEF Superannuation, the fund offers a multitude of options, one of which is Investment Manager B</w:t>
      </w:r>
      <w:r w:rsidR="008D4165">
        <w:t xml:space="preserve"> Equities</w:t>
      </w:r>
      <w:r>
        <w:t xml:space="preserve"> Model Portfolio.</w:t>
      </w:r>
      <w:r w:rsidR="00794A07">
        <w:t xml:space="preserve"> The actual asset allocation is the following:</w:t>
      </w:r>
    </w:p>
    <w:p w14:paraId="728BDAE2" w14:textId="64376EAB" w:rsidR="00794A07" w:rsidRDefault="00F12D3E" w:rsidP="00DA733E">
      <w:pPr>
        <w:numPr>
          <w:ilvl w:val="0"/>
          <w:numId w:val="0"/>
        </w:numPr>
      </w:pPr>
      <w:r>
        <w:rPr>
          <w:noProof/>
          <w:lang w:eastAsia="en-AU"/>
        </w:rPr>
        <w:drawing>
          <wp:inline distT="0" distB="0" distL="0" distR="0" wp14:anchorId="3D9D714F" wp14:editId="46F7D52D">
            <wp:extent cx="5731510" cy="1489710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9F810" w14:textId="7180EDBA" w:rsidR="00F12D3E" w:rsidRDefault="00F12D3E" w:rsidP="00DA733E">
      <w:pPr>
        <w:numPr>
          <w:ilvl w:val="0"/>
          <w:numId w:val="0"/>
        </w:numPr>
      </w:pPr>
      <w:r>
        <w:rPr>
          <w:noProof/>
          <w:lang w:eastAsia="en-AU"/>
        </w:rPr>
        <w:lastRenderedPageBreak/>
        <w:drawing>
          <wp:inline distT="0" distB="0" distL="0" distR="0" wp14:anchorId="7A2CFEFD" wp14:editId="1DE7F046">
            <wp:extent cx="5731510" cy="1489710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E2C28" w14:textId="6519CC5E" w:rsidR="00486534" w:rsidRPr="00A34ADD" w:rsidRDefault="00486534" w:rsidP="00DA733E">
      <w:pPr>
        <w:numPr>
          <w:ilvl w:val="0"/>
          <w:numId w:val="0"/>
        </w:numPr>
      </w:pPr>
      <w:r>
        <w:t>As members are able to diverge from the investment strategy of the model portfolio, the actual asset allocation of the option will not necessarily equate to the strategic asset allocation levels</w:t>
      </w:r>
      <w:r w:rsidR="00310A6A">
        <w:t xml:space="preserve"> in these instances</w:t>
      </w:r>
      <w:r>
        <w:t>.</w:t>
      </w:r>
      <w:r w:rsidRPr="00486534">
        <w:t xml:space="preserve"> </w:t>
      </w:r>
      <w:r>
        <w:t xml:space="preserve">Above, it can be seen that members have pulled out from international assets, with the actual allocation falling short </w:t>
      </w:r>
      <w:bookmarkStart w:id="0" w:name="_GoBack"/>
      <w:bookmarkEnd w:id="0"/>
      <w:r>
        <w:t>of the SAA targets.</w:t>
      </w:r>
    </w:p>
    <w:sectPr w:rsidR="00486534" w:rsidRPr="00A34ADD" w:rsidSect="0049103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18D01" w14:textId="77777777" w:rsidR="00D411ED" w:rsidRPr="000D4EDE" w:rsidRDefault="00D411ED" w:rsidP="000D4EDE">
      <w:r>
        <w:separator/>
      </w:r>
    </w:p>
  </w:endnote>
  <w:endnote w:type="continuationSeparator" w:id="0">
    <w:p w14:paraId="449B527D" w14:textId="77777777" w:rsidR="00D411ED" w:rsidRPr="000D4EDE" w:rsidRDefault="00D411ED" w:rsidP="000D4EDE">
      <w:r>
        <w:continuationSeparator/>
      </w:r>
    </w:p>
  </w:endnote>
  <w:endnote w:type="continuationNotice" w:id="1">
    <w:p w14:paraId="5A5F2C1F" w14:textId="77777777" w:rsidR="00D411ED" w:rsidRDefault="00D411E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altName w:val="Leelawadee UI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F190B" w14:textId="77777777" w:rsidR="00CE3772" w:rsidRDefault="00CE3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2A98B" w14:textId="77777777" w:rsidR="00CE3772" w:rsidRDefault="00CE3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02662" w14:textId="77777777" w:rsidR="00CE3772" w:rsidRDefault="00CE3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A63EE" w14:textId="77777777" w:rsidR="00D411ED" w:rsidRPr="000D4EDE" w:rsidRDefault="00D411ED" w:rsidP="000D4EDE">
      <w:r>
        <w:separator/>
      </w:r>
    </w:p>
  </w:footnote>
  <w:footnote w:type="continuationSeparator" w:id="0">
    <w:p w14:paraId="781E9A91" w14:textId="77777777" w:rsidR="00D411ED" w:rsidRPr="000D4EDE" w:rsidRDefault="00D411ED" w:rsidP="000D4EDE">
      <w:r>
        <w:continuationSeparator/>
      </w:r>
    </w:p>
  </w:footnote>
  <w:footnote w:type="continuationNotice" w:id="1">
    <w:p w14:paraId="68892EDE" w14:textId="77777777" w:rsidR="00D411ED" w:rsidRDefault="00D411E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144D0" w14:textId="77777777" w:rsidR="00CE3772" w:rsidRDefault="00CE3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D309B" w14:textId="35E377D1" w:rsidR="00CE3772" w:rsidRDefault="00CE37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B29F" w14:textId="77777777" w:rsidR="00CE3772" w:rsidRDefault="00CE3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C92E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1776129"/>
    <w:multiLevelType w:val="hybridMultilevel"/>
    <w:tmpl w:val="2E3885DE"/>
    <w:lvl w:ilvl="0" w:tplc="4D169E66">
      <w:start w:val="1"/>
      <w:numFmt w:val="bullet"/>
      <w:pStyle w:val="BULLET2"/>
      <w:lvlText w:val="―"/>
      <w:lvlJc w:val="left"/>
      <w:pPr>
        <w:ind w:left="785" w:hanging="360"/>
      </w:pPr>
      <w:rPr>
        <w:rFonts w:ascii="Trebuchet MS" w:hAnsi="Trebuchet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93595"/>
    <w:multiLevelType w:val="multilevel"/>
    <w:tmpl w:val="44EEB5B2"/>
    <w:lvl w:ilvl="0">
      <w:start w:val="1"/>
      <w:numFmt w:val="decimal"/>
      <w:pStyle w:val="ListNumb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73A5CAE"/>
    <w:multiLevelType w:val="multilevel"/>
    <w:tmpl w:val="845645BE"/>
    <w:lvl w:ilvl="0">
      <w:start w:val="1"/>
      <w:numFmt w:val="decimal"/>
      <w:pStyle w:val="Heading1Number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Numbers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Numbers"/>
      <w:lvlText w:val="%1.%2.%3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3">
      <w:start w:val="1"/>
      <w:numFmt w:val="decimal"/>
      <w:pStyle w:val="Heading4NoNumber"/>
      <w:lvlText w:val="%1.%2.%3.%4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01F50AC"/>
    <w:multiLevelType w:val="multilevel"/>
    <w:tmpl w:val="AC5E151C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color w:val="000000" w:themeColor="text1"/>
      </w:rPr>
    </w:lvl>
    <w:lvl w:ilvl="2">
      <w:start w:val="1"/>
      <w:numFmt w:val="bullet"/>
      <w:pStyle w:val="ListBullet3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8" w15:restartNumberingAfterBreak="0">
    <w:nsid w:val="40FE1B54"/>
    <w:multiLevelType w:val="multilevel"/>
    <w:tmpl w:val="03EA69FC"/>
    <w:styleLink w:val="HeadingList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6"/>
        </w:tabs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0E5588"/>
    <w:multiLevelType w:val="multilevel"/>
    <w:tmpl w:val="060A2B94"/>
    <w:styleLink w:val="111111"/>
    <w:lvl w:ilvl="0">
      <w:start w:val="1"/>
      <w:numFmt w:val="decimal"/>
      <w:lvlText w:val="%1."/>
      <w:lvlJc w:val="left"/>
      <w:pPr>
        <w:tabs>
          <w:tab w:val="num" w:pos="851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9B17A3F"/>
    <w:multiLevelType w:val="multilevel"/>
    <w:tmpl w:val="8EA00C60"/>
    <w:styleLink w:val="1ai"/>
    <w:lvl w:ilvl="0">
      <w:start w:val="1"/>
      <w:numFmt w:val="none"/>
      <w:pStyle w:val="Normal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List2"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pStyle w:val="List3"/>
      <w:lvlText w:val="%4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10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6"/>
  </w:num>
  <w:num w:numId="11">
    <w:abstractNumId w:val="4"/>
  </w:num>
  <w:num w:numId="1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styleLockTheme/>
  <w:styleLockQFSet/>
  <w:defaultTabStop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BC6"/>
    <w:rsid w:val="00004ED1"/>
    <w:rsid w:val="00005D98"/>
    <w:rsid w:val="00005F96"/>
    <w:rsid w:val="00007262"/>
    <w:rsid w:val="00011C96"/>
    <w:rsid w:val="000141B9"/>
    <w:rsid w:val="00034A19"/>
    <w:rsid w:val="00036F9E"/>
    <w:rsid w:val="000413B3"/>
    <w:rsid w:val="000453D9"/>
    <w:rsid w:val="000573E5"/>
    <w:rsid w:val="00057B71"/>
    <w:rsid w:val="0007202C"/>
    <w:rsid w:val="00072B30"/>
    <w:rsid w:val="0007319C"/>
    <w:rsid w:val="000732AA"/>
    <w:rsid w:val="000767DD"/>
    <w:rsid w:val="0008011A"/>
    <w:rsid w:val="00084F8B"/>
    <w:rsid w:val="000851D0"/>
    <w:rsid w:val="00086D07"/>
    <w:rsid w:val="00086F71"/>
    <w:rsid w:val="00093915"/>
    <w:rsid w:val="000949AD"/>
    <w:rsid w:val="00095109"/>
    <w:rsid w:val="00096B0F"/>
    <w:rsid w:val="000A490E"/>
    <w:rsid w:val="000B04C5"/>
    <w:rsid w:val="000B63CA"/>
    <w:rsid w:val="000B752A"/>
    <w:rsid w:val="000C14D9"/>
    <w:rsid w:val="000C15C7"/>
    <w:rsid w:val="000D4EDE"/>
    <w:rsid w:val="000E2460"/>
    <w:rsid w:val="000E43AC"/>
    <w:rsid w:val="000E6E37"/>
    <w:rsid w:val="000F0E6F"/>
    <w:rsid w:val="001018A5"/>
    <w:rsid w:val="00106F56"/>
    <w:rsid w:val="00115A39"/>
    <w:rsid w:val="00117479"/>
    <w:rsid w:val="00123576"/>
    <w:rsid w:val="001241CB"/>
    <w:rsid w:val="00124B21"/>
    <w:rsid w:val="001327B8"/>
    <w:rsid w:val="0013471B"/>
    <w:rsid w:val="001352D4"/>
    <w:rsid w:val="00146983"/>
    <w:rsid w:val="00155789"/>
    <w:rsid w:val="00157C98"/>
    <w:rsid w:val="001653B6"/>
    <w:rsid w:val="00165BF6"/>
    <w:rsid w:val="00174B0F"/>
    <w:rsid w:val="0018235E"/>
    <w:rsid w:val="00184187"/>
    <w:rsid w:val="001A4EA4"/>
    <w:rsid w:val="001A664F"/>
    <w:rsid w:val="001B2DB7"/>
    <w:rsid w:val="001B3A9F"/>
    <w:rsid w:val="001D0C02"/>
    <w:rsid w:val="001D3D43"/>
    <w:rsid w:val="001E0F51"/>
    <w:rsid w:val="001E55BF"/>
    <w:rsid w:val="001F6E1A"/>
    <w:rsid w:val="001F780A"/>
    <w:rsid w:val="001F7917"/>
    <w:rsid w:val="00200613"/>
    <w:rsid w:val="00214883"/>
    <w:rsid w:val="002156F6"/>
    <w:rsid w:val="0022012F"/>
    <w:rsid w:val="00220550"/>
    <w:rsid w:val="00224B5F"/>
    <w:rsid w:val="002301A2"/>
    <w:rsid w:val="00236C2D"/>
    <w:rsid w:val="002374B7"/>
    <w:rsid w:val="00240126"/>
    <w:rsid w:val="00241D16"/>
    <w:rsid w:val="00242384"/>
    <w:rsid w:val="0024304D"/>
    <w:rsid w:val="00244826"/>
    <w:rsid w:val="00247ACA"/>
    <w:rsid w:val="00252E6A"/>
    <w:rsid w:val="00255A20"/>
    <w:rsid w:val="0025782A"/>
    <w:rsid w:val="00263414"/>
    <w:rsid w:val="002661A6"/>
    <w:rsid w:val="00266C23"/>
    <w:rsid w:val="00277D6C"/>
    <w:rsid w:val="00286EAD"/>
    <w:rsid w:val="00292A60"/>
    <w:rsid w:val="0029389B"/>
    <w:rsid w:val="00294033"/>
    <w:rsid w:val="002A1894"/>
    <w:rsid w:val="002A2188"/>
    <w:rsid w:val="002A36F2"/>
    <w:rsid w:val="002A7160"/>
    <w:rsid w:val="002A7D14"/>
    <w:rsid w:val="002B0913"/>
    <w:rsid w:val="002B28E4"/>
    <w:rsid w:val="002B7504"/>
    <w:rsid w:val="002C0D97"/>
    <w:rsid w:val="002C66D1"/>
    <w:rsid w:val="002C7065"/>
    <w:rsid w:val="002C7F4A"/>
    <w:rsid w:val="002D2804"/>
    <w:rsid w:val="002D4B6C"/>
    <w:rsid w:val="002D5274"/>
    <w:rsid w:val="002E1EE3"/>
    <w:rsid w:val="002E7C24"/>
    <w:rsid w:val="002F0135"/>
    <w:rsid w:val="002F0C2C"/>
    <w:rsid w:val="00300655"/>
    <w:rsid w:val="00303D18"/>
    <w:rsid w:val="00307ADD"/>
    <w:rsid w:val="00307E55"/>
    <w:rsid w:val="00310A6A"/>
    <w:rsid w:val="00312A66"/>
    <w:rsid w:val="003130CA"/>
    <w:rsid w:val="0032180D"/>
    <w:rsid w:val="003306A5"/>
    <w:rsid w:val="00355D40"/>
    <w:rsid w:val="00371AAC"/>
    <w:rsid w:val="00371F54"/>
    <w:rsid w:val="0037770C"/>
    <w:rsid w:val="00377C8B"/>
    <w:rsid w:val="00383A95"/>
    <w:rsid w:val="00385CA0"/>
    <w:rsid w:val="003A2733"/>
    <w:rsid w:val="003A3021"/>
    <w:rsid w:val="003A627E"/>
    <w:rsid w:val="003A79EE"/>
    <w:rsid w:val="003B6E16"/>
    <w:rsid w:val="003C180A"/>
    <w:rsid w:val="003C1E25"/>
    <w:rsid w:val="003D27CB"/>
    <w:rsid w:val="003D329D"/>
    <w:rsid w:val="003E6BF6"/>
    <w:rsid w:val="003F0F0D"/>
    <w:rsid w:val="00400A32"/>
    <w:rsid w:val="0040173E"/>
    <w:rsid w:val="00435339"/>
    <w:rsid w:val="004410DC"/>
    <w:rsid w:val="0044447D"/>
    <w:rsid w:val="00450C67"/>
    <w:rsid w:val="00460CF7"/>
    <w:rsid w:val="00463FA8"/>
    <w:rsid w:val="00466648"/>
    <w:rsid w:val="00472CBC"/>
    <w:rsid w:val="004765B3"/>
    <w:rsid w:val="004843CA"/>
    <w:rsid w:val="00486534"/>
    <w:rsid w:val="00491030"/>
    <w:rsid w:val="00493DAA"/>
    <w:rsid w:val="00494335"/>
    <w:rsid w:val="00495A4C"/>
    <w:rsid w:val="004967A1"/>
    <w:rsid w:val="004B584E"/>
    <w:rsid w:val="004C1106"/>
    <w:rsid w:val="004C6D4B"/>
    <w:rsid w:val="004C766B"/>
    <w:rsid w:val="004D1DB7"/>
    <w:rsid w:val="004D33E3"/>
    <w:rsid w:val="004D76C1"/>
    <w:rsid w:val="004D7C22"/>
    <w:rsid w:val="004E2269"/>
    <w:rsid w:val="004E451A"/>
    <w:rsid w:val="004F3339"/>
    <w:rsid w:val="004F72A2"/>
    <w:rsid w:val="004F78E5"/>
    <w:rsid w:val="005026D4"/>
    <w:rsid w:val="00503A51"/>
    <w:rsid w:val="00506774"/>
    <w:rsid w:val="00512305"/>
    <w:rsid w:val="00512309"/>
    <w:rsid w:val="00524986"/>
    <w:rsid w:val="00541D54"/>
    <w:rsid w:val="00542522"/>
    <w:rsid w:val="0054526E"/>
    <w:rsid w:val="00545CE1"/>
    <w:rsid w:val="005476B5"/>
    <w:rsid w:val="005549D7"/>
    <w:rsid w:val="00556573"/>
    <w:rsid w:val="005602DA"/>
    <w:rsid w:val="00562087"/>
    <w:rsid w:val="005678FC"/>
    <w:rsid w:val="0057138A"/>
    <w:rsid w:val="00573327"/>
    <w:rsid w:val="00591162"/>
    <w:rsid w:val="00592F64"/>
    <w:rsid w:val="005A3F63"/>
    <w:rsid w:val="005A59D0"/>
    <w:rsid w:val="005B073E"/>
    <w:rsid w:val="005B227F"/>
    <w:rsid w:val="005B5B43"/>
    <w:rsid w:val="005B7801"/>
    <w:rsid w:val="005C5891"/>
    <w:rsid w:val="005D04CC"/>
    <w:rsid w:val="005D5FAE"/>
    <w:rsid w:val="005E4BC9"/>
    <w:rsid w:val="005F29B7"/>
    <w:rsid w:val="00606EB5"/>
    <w:rsid w:val="00606FC8"/>
    <w:rsid w:val="00616C90"/>
    <w:rsid w:val="00617FDA"/>
    <w:rsid w:val="0062116F"/>
    <w:rsid w:val="00623FD7"/>
    <w:rsid w:val="00626087"/>
    <w:rsid w:val="00634E4C"/>
    <w:rsid w:val="00636B8B"/>
    <w:rsid w:val="00641EAA"/>
    <w:rsid w:val="006427FE"/>
    <w:rsid w:val="006506C1"/>
    <w:rsid w:val="00657459"/>
    <w:rsid w:val="0065747A"/>
    <w:rsid w:val="00662E28"/>
    <w:rsid w:val="0066674D"/>
    <w:rsid w:val="00666A78"/>
    <w:rsid w:val="00676BC6"/>
    <w:rsid w:val="00676C12"/>
    <w:rsid w:val="006900D6"/>
    <w:rsid w:val="0069375D"/>
    <w:rsid w:val="0069407C"/>
    <w:rsid w:val="0069574E"/>
    <w:rsid w:val="006969C0"/>
    <w:rsid w:val="006A1921"/>
    <w:rsid w:val="006A2303"/>
    <w:rsid w:val="006A2C82"/>
    <w:rsid w:val="006B659A"/>
    <w:rsid w:val="006D2A45"/>
    <w:rsid w:val="006D315C"/>
    <w:rsid w:val="006D71B8"/>
    <w:rsid w:val="006E4272"/>
    <w:rsid w:val="006F145A"/>
    <w:rsid w:val="006F27CB"/>
    <w:rsid w:val="006F359B"/>
    <w:rsid w:val="006F5865"/>
    <w:rsid w:val="007012CB"/>
    <w:rsid w:val="00701B02"/>
    <w:rsid w:val="00701EC6"/>
    <w:rsid w:val="00706179"/>
    <w:rsid w:val="00714F78"/>
    <w:rsid w:val="007152B0"/>
    <w:rsid w:val="007170F7"/>
    <w:rsid w:val="00717589"/>
    <w:rsid w:val="00722F9F"/>
    <w:rsid w:val="007253B8"/>
    <w:rsid w:val="00736E7D"/>
    <w:rsid w:val="00737F39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65749"/>
    <w:rsid w:val="00775AA0"/>
    <w:rsid w:val="007770FA"/>
    <w:rsid w:val="00791738"/>
    <w:rsid w:val="00791780"/>
    <w:rsid w:val="00792D37"/>
    <w:rsid w:val="00794A07"/>
    <w:rsid w:val="007A0EB7"/>
    <w:rsid w:val="007B6871"/>
    <w:rsid w:val="007B7899"/>
    <w:rsid w:val="007C08B1"/>
    <w:rsid w:val="007C2CC2"/>
    <w:rsid w:val="007C38BD"/>
    <w:rsid w:val="007C79AA"/>
    <w:rsid w:val="007D31DA"/>
    <w:rsid w:val="007D72C5"/>
    <w:rsid w:val="007E525D"/>
    <w:rsid w:val="007F0323"/>
    <w:rsid w:val="007F1CAC"/>
    <w:rsid w:val="007F379E"/>
    <w:rsid w:val="007F471C"/>
    <w:rsid w:val="00800C90"/>
    <w:rsid w:val="00802866"/>
    <w:rsid w:val="008125F8"/>
    <w:rsid w:val="008208A8"/>
    <w:rsid w:val="00826012"/>
    <w:rsid w:val="00834882"/>
    <w:rsid w:val="00834CE0"/>
    <w:rsid w:val="0084110F"/>
    <w:rsid w:val="00844B1D"/>
    <w:rsid w:val="00844F5C"/>
    <w:rsid w:val="00845843"/>
    <w:rsid w:val="00846D34"/>
    <w:rsid w:val="00863020"/>
    <w:rsid w:val="008637EC"/>
    <w:rsid w:val="00870BC6"/>
    <w:rsid w:val="00875DAD"/>
    <w:rsid w:val="00877B84"/>
    <w:rsid w:val="00877E5F"/>
    <w:rsid w:val="0088036D"/>
    <w:rsid w:val="008807C1"/>
    <w:rsid w:val="00881155"/>
    <w:rsid w:val="00882892"/>
    <w:rsid w:val="00885A14"/>
    <w:rsid w:val="0088689B"/>
    <w:rsid w:val="00890FA0"/>
    <w:rsid w:val="008947BF"/>
    <w:rsid w:val="008A0CBE"/>
    <w:rsid w:val="008A1CA8"/>
    <w:rsid w:val="008A214D"/>
    <w:rsid w:val="008A72D2"/>
    <w:rsid w:val="008A74A3"/>
    <w:rsid w:val="008B4036"/>
    <w:rsid w:val="008B6868"/>
    <w:rsid w:val="008B6D24"/>
    <w:rsid w:val="008C34F7"/>
    <w:rsid w:val="008C6A43"/>
    <w:rsid w:val="008D080C"/>
    <w:rsid w:val="008D1867"/>
    <w:rsid w:val="008D4165"/>
    <w:rsid w:val="008D6437"/>
    <w:rsid w:val="008D6EDF"/>
    <w:rsid w:val="008E3EF5"/>
    <w:rsid w:val="008F33B5"/>
    <w:rsid w:val="009002CC"/>
    <w:rsid w:val="00901414"/>
    <w:rsid w:val="00906799"/>
    <w:rsid w:val="00911855"/>
    <w:rsid w:val="0091492D"/>
    <w:rsid w:val="00922193"/>
    <w:rsid w:val="00924152"/>
    <w:rsid w:val="0093194D"/>
    <w:rsid w:val="00934C3F"/>
    <w:rsid w:val="009417AE"/>
    <w:rsid w:val="00945B3F"/>
    <w:rsid w:val="0095095C"/>
    <w:rsid w:val="00950DCB"/>
    <w:rsid w:val="00952D47"/>
    <w:rsid w:val="00952D4C"/>
    <w:rsid w:val="00960246"/>
    <w:rsid w:val="00963B90"/>
    <w:rsid w:val="0096680B"/>
    <w:rsid w:val="009720E1"/>
    <w:rsid w:val="00974F0E"/>
    <w:rsid w:val="00975CD7"/>
    <w:rsid w:val="00980CA1"/>
    <w:rsid w:val="00985E70"/>
    <w:rsid w:val="0098783B"/>
    <w:rsid w:val="00993C2B"/>
    <w:rsid w:val="009979F4"/>
    <w:rsid w:val="009A246D"/>
    <w:rsid w:val="009A45B2"/>
    <w:rsid w:val="009A5585"/>
    <w:rsid w:val="009A59D5"/>
    <w:rsid w:val="009B2CB7"/>
    <w:rsid w:val="009C2198"/>
    <w:rsid w:val="009D2DDD"/>
    <w:rsid w:val="009D5B6E"/>
    <w:rsid w:val="009E0C10"/>
    <w:rsid w:val="009E4116"/>
    <w:rsid w:val="009E529F"/>
    <w:rsid w:val="00A10DA6"/>
    <w:rsid w:val="00A151E9"/>
    <w:rsid w:val="00A15DBB"/>
    <w:rsid w:val="00A259F2"/>
    <w:rsid w:val="00A260CD"/>
    <w:rsid w:val="00A2758A"/>
    <w:rsid w:val="00A33802"/>
    <w:rsid w:val="00A34ADD"/>
    <w:rsid w:val="00A36A08"/>
    <w:rsid w:val="00A37162"/>
    <w:rsid w:val="00A37E51"/>
    <w:rsid w:val="00A51E2D"/>
    <w:rsid w:val="00A5319F"/>
    <w:rsid w:val="00A533A9"/>
    <w:rsid w:val="00A53690"/>
    <w:rsid w:val="00A62D31"/>
    <w:rsid w:val="00A63380"/>
    <w:rsid w:val="00A721EA"/>
    <w:rsid w:val="00A8129D"/>
    <w:rsid w:val="00A82188"/>
    <w:rsid w:val="00A865C7"/>
    <w:rsid w:val="00A909CC"/>
    <w:rsid w:val="00A964A5"/>
    <w:rsid w:val="00A97E3B"/>
    <w:rsid w:val="00AA00CB"/>
    <w:rsid w:val="00AA20A1"/>
    <w:rsid w:val="00AA41F2"/>
    <w:rsid w:val="00AA5A7D"/>
    <w:rsid w:val="00AB039E"/>
    <w:rsid w:val="00AB4206"/>
    <w:rsid w:val="00AB486C"/>
    <w:rsid w:val="00AC7E54"/>
    <w:rsid w:val="00AE6A4E"/>
    <w:rsid w:val="00AE7B98"/>
    <w:rsid w:val="00AF129F"/>
    <w:rsid w:val="00B12DC9"/>
    <w:rsid w:val="00B13F84"/>
    <w:rsid w:val="00B14604"/>
    <w:rsid w:val="00B15ABA"/>
    <w:rsid w:val="00B20FA0"/>
    <w:rsid w:val="00B24DD4"/>
    <w:rsid w:val="00B25BE7"/>
    <w:rsid w:val="00B33DF7"/>
    <w:rsid w:val="00B34339"/>
    <w:rsid w:val="00B40B7D"/>
    <w:rsid w:val="00B42B2F"/>
    <w:rsid w:val="00B44900"/>
    <w:rsid w:val="00B467F6"/>
    <w:rsid w:val="00B472E1"/>
    <w:rsid w:val="00B52821"/>
    <w:rsid w:val="00B56C63"/>
    <w:rsid w:val="00B664C7"/>
    <w:rsid w:val="00B71170"/>
    <w:rsid w:val="00B80BCE"/>
    <w:rsid w:val="00B81524"/>
    <w:rsid w:val="00B81740"/>
    <w:rsid w:val="00B82AD7"/>
    <w:rsid w:val="00B83542"/>
    <w:rsid w:val="00B85D7B"/>
    <w:rsid w:val="00B900EA"/>
    <w:rsid w:val="00B91069"/>
    <w:rsid w:val="00B92842"/>
    <w:rsid w:val="00BA2713"/>
    <w:rsid w:val="00BA2941"/>
    <w:rsid w:val="00BA4C61"/>
    <w:rsid w:val="00BA627A"/>
    <w:rsid w:val="00BB22FA"/>
    <w:rsid w:val="00BC22E4"/>
    <w:rsid w:val="00BD12A1"/>
    <w:rsid w:val="00BD1D09"/>
    <w:rsid w:val="00BD7B83"/>
    <w:rsid w:val="00BF17C6"/>
    <w:rsid w:val="00BF6F09"/>
    <w:rsid w:val="00C00FDA"/>
    <w:rsid w:val="00C02EB9"/>
    <w:rsid w:val="00C0373C"/>
    <w:rsid w:val="00C04E4B"/>
    <w:rsid w:val="00C11531"/>
    <w:rsid w:val="00C11B56"/>
    <w:rsid w:val="00C14C04"/>
    <w:rsid w:val="00C1529E"/>
    <w:rsid w:val="00C16045"/>
    <w:rsid w:val="00C21E27"/>
    <w:rsid w:val="00C2332A"/>
    <w:rsid w:val="00C42EA5"/>
    <w:rsid w:val="00C43600"/>
    <w:rsid w:val="00C52CBA"/>
    <w:rsid w:val="00C57A80"/>
    <w:rsid w:val="00C62BF5"/>
    <w:rsid w:val="00C636DA"/>
    <w:rsid w:val="00C67E22"/>
    <w:rsid w:val="00C72271"/>
    <w:rsid w:val="00C72A17"/>
    <w:rsid w:val="00C81356"/>
    <w:rsid w:val="00C813CD"/>
    <w:rsid w:val="00C858D9"/>
    <w:rsid w:val="00C87DA0"/>
    <w:rsid w:val="00CA4E4D"/>
    <w:rsid w:val="00CA6FF9"/>
    <w:rsid w:val="00CB4238"/>
    <w:rsid w:val="00CB5938"/>
    <w:rsid w:val="00CB5B27"/>
    <w:rsid w:val="00CC13F5"/>
    <w:rsid w:val="00CC1A64"/>
    <w:rsid w:val="00CC34EB"/>
    <w:rsid w:val="00CC66EA"/>
    <w:rsid w:val="00CD3C17"/>
    <w:rsid w:val="00CE1F9C"/>
    <w:rsid w:val="00CE2E48"/>
    <w:rsid w:val="00CE3772"/>
    <w:rsid w:val="00CF0184"/>
    <w:rsid w:val="00CF55F6"/>
    <w:rsid w:val="00CF59E0"/>
    <w:rsid w:val="00CF6672"/>
    <w:rsid w:val="00D021F7"/>
    <w:rsid w:val="00D069C7"/>
    <w:rsid w:val="00D078A2"/>
    <w:rsid w:val="00D21123"/>
    <w:rsid w:val="00D26BB7"/>
    <w:rsid w:val="00D367EB"/>
    <w:rsid w:val="00D36C91"/>
    <w:rsid w:val="00D411ED"/>
    <w:rsid w:val="00D41871"/>
    <w:rsid w:val="00D45954"/>
    <w:rsid w:val="00D461C2"/>
    <w:rsid w:val="00D61AAE"/>
    <w:rsid w:val="00D64CB8"/>
    <w:rsid w:val="00D720AE"/>
    <w:rsid w:val="00D72FD8"/>
    <w:rsid w:val="00D92A45"/>
    <w:rsid w:val="00D9697A"/>
    <w:rsid w:val="00DA3023"/>
    <w:rsid w:val="00DA4C48"/>
    <w:rsid w:val="00DA727D"/>
    <w:rsid w:val="00DA733E"/>
    <w:rsid w:val="00DB53A7"/>
    <w:rsid w:val="00DD170F"/>
    <w:rsid w:val="00DE0A8A"/>
    <w:rsid w:val="00DF2F8B"/>
    <w:rsid w:val="00DF6837"/>
    <w:rsid w:val="00DF68E4"/>
    <w:rsid w:val="00DF6E54"/>
    <w:rsid w:val="00E04228"/>
    <w:rsid w:val="00E04457"/>
    <w:rsid w:val="00E04BBC"/>
    <w:rsid w:val="00E10450"/>
    <w:rsid w:val="00E1478E"/>
    <w:rsid w:val="00E159D7"/>
    <w:rsid w:val="00E213AB"/>
    <w:rsid w:val="00E21653"/>
    <w:rsid w:val="00E21C9B"/>
    <w:rsid w:val="00E2414E"/>
    <w:rsid w:val="00E26830"/>
    <w:rsid w:val="00E26FAF"/>
    <w:rsid w:val="00E40B36"/>
    <w:rsid w:val="00E51672"/>
    <w:rsid w:val="00E522FC"/>
    <w:rsid w:val="00E55EE5"/>
    <w:rsid w:val="00E61784"/>
    <w:rsid w:val="00E625B3"/>
    <w:rsid w:val="00E64743"/>
    <w:rsid w:val="00E7257D"/>
    <w:rsid w:val="00E728CB"/>
    <w:rsid w:val="00E7336F"/>
    <w:rsid w:val="00E74F3B"/>
    <w:rsid w:val="00E76262"/>
    <w:rsid w:val="00E84A6B"/>
    <w:rsid w:val="00E92385"/>
    <w:rsid w:val="00E939E1"/>
    <w:rsid w:val="00E93F74"/>
    <w:rsid w:val="00E96DEA"/>
    <w:rsid w:val="00EA1585"/>
    <w:rsid w:val="00EA48AE"/>
    <w:rsid w:val="00EB09E2"/>
    <w:rsid w:val="00EB74A5"/>
    <w:rsid w:val="00EE0126"/>
    <w:rsid w:val="00EE0C89"/>
    <w:rsid w:val="00EE47FE"/>
    <w:rsid w:val="00EE50C6"/>
    <w:rsid w:val="00EE5D41"/>
    <w:rsid w:val="00EE766D"/>
    <w:rsid w:val="00EF2A15"/>
    <w:rsid w:val="00EF5BFD"/>
    <w:rsid w:val="00EF7B33"/>
    <w:rsid w:val="00F00470"/>
    <w:rsid w:val="00F01C6F"/>
    <w:rsid w:val="00F0509B"/>
    <w:rsid w:val="00F0601C"/>
    <w:rsid w:val="00F06EE2"/>
    <w:rsid w:val="00F074DC"/>
    <w:rsid w:val="00F12D3E"/>
    <w:rsid w:val="00F15632"/>
    <w:rsid w:val="00F17535"/>
    <w:rsid w:val="00F20949"/>
    <w:rsid w:val="00F24F8F"/>
    <w:rsid w:val="00F27A80"/>
    <w:rsid w:val="00F303B2"/>
    <w:rsid w:val="00F307E0"/>
    <w:rsid w:val="00F34D63"/>
    <w:rsid w:val="00F460EF"/>
    <w:rsid w:val="00F57F7A"/>
    <w:rsid w:val="00F62D33"/>
    <w:rsid w:val="00F64AB3"/>
    <w:rsid w:val="00F6570B"/>
    <w:rsid w:val="00F67615"/>
    <w:rsid w:val="00F76C98"/>
    <w:rsid w:val="00F804CD"/>
    <w:rsid w:val="00F80750"/>
    <w:rsid w:val="00F85F59"/>
    <w:rsid w:val="00F86538"/>
    <w:rsid w:val="00F86717"/>
    <w:rsid w:val="00F86DD4"/>
    <w:rsid w:val="00F97C7A"/>
    <w:rsid w:val="00FA2909"/>
    <w:rsid w:val="00FA3CEC"/>
    <w:rsid w:val="00FB4CF2"/>
    <w:rsid w:val="00FB7855"/>
    <w:rsid w:val="00FC4845"/>
    <w:rsid w:val="00FC6B03"/>
    <w:rsid w:val="00FD06D5"/>
    <w:rsid w:val="00FD28FF"/>
    <w:rsid w:val="00FD44FF"/>
    <w:rsid w:val="00FD68A1"/>
    <w:rsid w:val="00FE3F31"/>
    <w:rsid w:val="00FE419E"/>
    <w:rsid w:val="00FE67BC"/>
    <w:rsid w:val="00FF2484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215BD9B"/>
  <w15:chartTrackingRefBased/>
  <w15:docId w15:val="{2CE97BAC-E5EE-4D1C-99C3-0D9AF5F2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color w:val="000000"/>
        <w:sz w:val="22"/>
        <w:szCs w:val="22"/>
        <w:lang w:val="en-AU" w:eastAsia="en-US" w:bidi="ar-SA"/>
      </w:rPr>
    </w:rPrDefault>
    <w:pPrDefault>
      <w:pPr>
        <w:spacing w:after="240"/>
        <w:jc w:val="both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nhideWhenUsed="1"/>
    <w:lsdException w:name="footer" w:locked="0" w:unhideWhenUsed="1"/>
    <w:lsdException w:name="index heading" w:semiHidden="1" w:unhideWhenUsed="1"/>
    <w:lsdException w:name="caption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7" w:unhideWhenUsed="1" w:qFormat="1"/>
    <w:lsdException w:name="List Bullet" w:uiPriority="13" w:unhideWhenUsed="1" w:qFormat="1"/>
    <w:lsdException w:name="List Number" w:uiPriority="15" w:qFormat="1"/>
    <w:lsdException w:name="List 2" w:semiHidden="1" w:uiPriority="17" w:unhideWhenUsed="1" w:qFormat="1"/>
    <w:lsdException w:name="List 3" w:semiHidden="1" w:uiPriority="17" w:unhideWhenUsed="1" w:qFormat="1"/>
    <w:lsdException w:name="List 4" w:semiHidden="1" w:unhideWhenUsed="1"/>
    <w:lsdException w:name="List 5" w:semiHidden="1" w:unhideWhenUsed="1"/>
    <w:lsdException w:name="List Bullet 2" w:uiPriority="13" w:unhideWhenUsed="1" w:qFormat="1"/>
    <w:lsdException w:name="List Bullet 3" w:uiPriority="13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 w:qFormat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iPriority="29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7" w:qFormat="1"/>
    <w:lsdException w:name="Quote" w:uiPriority="1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4D76C1"/>
    <w:pPr>
      <w:numPr>
        <w:numId w:val="5"/>
      </w:numPr>
    </w:pPr>
  </w:style>
  <w:style w:type="paragraph" w:styleId="Heading1">
    <w:name w:val="heading 1"/>
    <w:basedOn w:val="Normal"/>
    <w:next w:val="Normal"/>
    <w:link w:val="Heading1Char"/>
    <w:qFormat/>
    <w:rsid w:val="00004ED1"/>
    <w:pPr>
      <w:keepNext/>
      <w:keepLines/>
      <w:numPr>
        <w:numId w:val="0"/>
      </w:numPr>
      <w:spacing w:before="3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4ED1"/>
    <w:pPr>
      <w:keepNext/>
      <w:keepLines/>
      <w:numPr>
        <w:numId w:val="0"/>
      </w:numPr>
      <w:spacing w:before="360"/>
      <w:outlineLvl w:val="1"/>
    </w:pPr>
    <w:rPr>
      <w:rFonts w:asciiTheme="majorHAnsi" w:eastAsiaTheme="majorEastAsia" w:hAnsiTheme="majorHAnsi" w:cstheme="majorBidi"/>
      <w:b/>
      <w:bCs/>
      <w:i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E529F"/>
    <w:pPr>
      <w:keepNext/>
      <w:keepLines/>
      <w:numPr>
        <w:numId w:val="0"/>
      </w:numPr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D04CC"/>
    <w:pPr>
      <w:keepNext/>
      <w:keepLines/>
      <w:numPr>
        <w:numId w:val="0"/>
      </w:numPr>
      <w:spacing w:before="240" w:after="12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9E529F"/>
    <w:pPr>
      <w:keepNext/>
      <w:keepLines/>
      <w:numPr>
        <w:numId w:val="0"/>
      </w:numPr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qFormat/>
    <w:rsid w:val="00E522FC"/>
    <w:pPr>
      <w:keepNext/>
      <w:keepLines/>
      <w:numPr>
        <w:numId w:val="0"/>
      </w:numPr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6C63"/>
    <w:pPr>
      <w:keepNext/>
      <w:keepLines/>
      <w:numPr>
        <w:numId w:val="0"/>
      </w:numPr>
      <w:spacing w:before="240" w:after="12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6C63"/>
    <w:pPr>
      <w:keepNext/>
      <w:keepLines/>
      <w:numPr>
        <w:numId w:val="0"/>
      </w:numPr>
      <w:spacing w:before="240" w:after="120"/>
      <w:outlineLvl w:val="7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6C63"/>
    <w:pPr>
      <w:keepNext/>
      <w:keepLines/>
      <w:numPr>
        <w:numId w:val="0"/>
      </w:numPr>
      <w:spacing w:before="24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4ED1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4ED1"/>
    <w:rPr>
      <w:rFonts w:asciiTheme="majorHAnsi" w:eastAsiaTheme="majorEastAsia" w:hAnsiTheme="majorHAnsi" w:cstheme="majorBidi"/>
      <w:b/>
      <w:bCs/>
      <w:i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529F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customStyle="1" w:styleId="CoverSubtitle">
    <w:name w:val="Cover Subtitle"/>
    <w:basedOn w:val="Normal"/>
    <w:next w:val="Normal"/>
    <w:uiPriority w:val="21"/>
    <w:semiHidden/>
    <w:locked/>
    <w:rsid w:val="00072B30"/>
    <w:pPr>
      <w:numPr>
        <w:numId w:val="0"/>
      </w:numPr>
      <w:spacing w:after="0"/>
    </w:pPr>
    <w:rPr>
      <w:rFonts w:asciiTheme="majorHAnsi" w:hAnsiTheme="majorHAnsi"/>
      <w:b/>
      <w:color w:val="000000" w:themeColor="text1"/>
      <w:sz w:val="48"/>
    </w:rPr>
  </w:style>
  <w:style w:type="paragraph" w:customStyle="1" w:styleId="SubHeadingNoTOC">
    <w:name w:val="Sub Heading (No TOC)"/>
    <w:basedOn w:val="Normal"/>
    <w:next w:val="Normal"/>
    <w:uiPriority w:val="9"/>
    <w:qFormat/>
    <w:rsid w:val="00F64AB3"/>
    <w:pPr>
      <w:keepNext/>
      <w:keepLines/>
      <w:numPr>
        <w:numId w:val="0"/>
      </w:numPr>
      <w:spacing w:before="240" w:after="120"/>
    </w:pPr>
    <w:rPr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D04C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ListBullet">
    <w:name w:val="List Bullet"/>
    <w:basedOn w:val="Normal"/>
    <w:uiPriority w:val="13"/>
    <w:qFormat/>
    <w:rsid w:val="00641EAA"/>
    <w:pPr>
      <w:numPr>
        <w:numId w:val="8"/>
      </w:numPr>
    </w:pPr>
  </w:style>
  <w:style w:type="paragraph" w:styleId="ListBullet2">
    <w:name w:val="List Bullet 2"/>
    <w:basedOn w:val="ListBullet"/>
    <w:uiPriority w:val="13"/>
    <w:qFormat/>
    <w:rsid w:val="00641EAA"/>
    <w:pPr>
      <w:numPr>
        <w:ilvl w:val="1"/>
      </w:numPr>
    </w:pPr>
  </w:style>
  <w:style w:type="paragraph" w:styleId="ListNumber">
    <w:name w:val="List Number"/>
    <w:basedOn w:val="Normal"/>
    <w:uiPriority w:val="15"/>
    <w:qFormat/>
    <w:rsid w:val="00662E28"/>
    <w:pPr>
      <w:numPr>
        <w:numId w:val="11"/>
      </w:numPr>
    </w:pPr>
  </w:style>
  <w:style w:type="paragraph" w:styleId="ListNumber2">
    <w:name w:val="List Number 2"/>
    <w:basedOn w:val="Normal"/>
    <w:uiPriority w:val="16"/>
    <w:qFormat/>
    <w:rsid w:val="00662E28"/>
    <w:pPr>
      <w:numPr>
        <w:ilvl w:val="1"/>
        <w:numId w:val="11"/>
      </w:numPr>
    </w:pPr>
  </w:style>
  <w:style w:type="numbering" w:customStyle="1" w:styleId="HeadingList">
    <w:name w:val="Heading List"/>
    <w:uiPriority w:val="99"/>
    <w:rsid w:val="001241CB"/>
    <w:pPr>
      <w:numPr>
        <w:numId w:val="6"/>
      </w:numPr>
    </w:pPr>
  </w:style>
  <w:style w:type="paragraph" w:styleId="ListNumber3">
    <w:name w:val="List Number 3"/>
    <w:basedOn w:val="Normal"/>
    <w:uiPriority w:val="16"/>
    <w:qFormat/>
    <w:rsid w:val="00662E28"/>
    <w:pPr>
      <w:numPr>
        <w:ilvl w:val="2"/>
        <w:numId w:val="11"/>
      </w:numPr>
    </w:pPr>
  </w:style>
  <w:style w:type="paragraph" w:styleId="Title">
    <w:name w:val="Title"/>
    <w:basedOn w:val="Normal"/>
    <w:next w:val="Normal"/>
    <w:link w:val="TitleChar"/>
    <w:uiPriority w:val="1"/>
    <w:rsid w:val="0057138A"/>
    <w:pPr>
      <w:numPr>
        <w:numId w:val="0"/>
      </w:numPr>
    </w:pPr>
    <w:rPr>
      <w:rFonts w:asciiTheme="majorHAnsi" w:eastAsiaTheme="majorEastAsia" w:hAnsiTheme="majorHAnsi" w:cstheme="majorBidi"/>
      <w:b/>
      <w:caps/>
      <w:color w:val="000000" w:themeColor="text1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57138A"/>
    <w:rPr>
      <w:rFonts w:asciiTheme="majorHAnsi" w:eastAsiaTheme="majorEastAsia" w:hAnsiTheme="majorHAnsi" w:cstheme="majorBidi"/>
      <w:b/>
      <w:caps/>
      <w:color w:val="000000" w:themeColor="text1"/>
      <w:sz w:val="40"/>
      <w:szCs w:val="52"/>
    </w:rPr>
  </w:style>
  <w:style w:type="numbering" w:styleId="111111">
    <w:name w:val="Outline List 2"/>
    <w:basedOn w:val="NoList"/>
    <w:uiPriority w:val="99"/>
    <w:semiHidden/>
    <w:unhideWhenUsed/>
    <w:locked/>
    <w:rsid w:val="00466648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0453D9"/>
    <w:pPr>
      <w:numPr>
        <w:numId w:val="0"/>
      </w:numPr>
      <w:tabs>
        <w:tab w:val="left" w:pos="851"/>
        <w:tab w:val="right" w:pos="9027"/>
      </w:tabs>
      <w:ind w:left="851" w:hanging="851"/>
      <w:jc w:val="left"/>
    </w:pPr>
    <w:rPr>
      <w:i/>
      <w:sz w:val="28"/>
    </w:rPr>
  </w:style>
  <w:style w:type="paragraph" w:styleId="TOCHeading">
    <w:name w:val="TOC Heading"/>
    <w:basedOn w:val="Heading1"/>
    <w:next w:val="Normal"/>
    <w:uiPriority w:val="38"/>
    <w:unhideWhenUsed/>
    <w:rsid w:val="000453D9"/>
    <w:pPr>
      <w:outlineLvl w:val="9"/>
    </w:pPr>
    <w:rPr>
      <w:b w:val="0"/>
      <w:i/>
    </w:rPr>
  </w:style>
  <w:style w:type="paragraph" w:styleId="Footer">
    <w:name w:val="footer"/>
    <w:basedOn w:val="Normal"/>
    <w:link w:val="FooterChar"/>
    <w:uiPriority w:val="99"/>
    <w:rsid w:val="00722F9F"/>
    <w:pPr>
      <w:numPr>
        <w:numId w:val="0"/>
      </w:numPr>
      <w:tabs>
        <w:tab w:val="right" w:pos="9639"/>
      </w:tabs>
      <w:spacing w:after="0" w:line="200" w:lineRule="exact"/>
      <w:contextualSpacing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14F78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3"/>
    <w:qFormat/>
    <w:rsid w:val="00641EAA"/>
    <w:pPr>
      <w:numPr>
        <w:ilvl w:val="2"/>
        <w:numId w:val="8"/>
      </w:numPr>
    </w:pPr>
  </w:style>
  <w:style w:type="table" w:styleId="TableGrid">
    <w:name w:val="Table Grid"/>
    <w:basedOn w:val="TableNormal"/>
    <w:uiPriority w:val="59"/>
    <w:rsid w:val="00826012"/>
    <w:pPr>
      <w:spacing w:before="60" w:after="60"/>
      <w:jc w:val="left"/>
    </w:p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EAECEE" w:themeFill="accent4" w:themeFillTint="33"/>
    </w:tcPr>
    <w:tblStylePr w:type="firstRow">
      <w:rPr>
        <w:b w:val="0"/>
        <w:color w:val="FFFFFF" w:themeColor="background1"/>
      </w:rPr>
      <w:tblPr/>
      <w:trPr>
        <w:cantSplit/>
        <w:tblHeader/>
      </w:trPr>
      <w:tcPr>
        <w:shd w:val="clear" w:color="auto" w:fill="012169" w:themeFill="accent1"/>
      </w:tcPr>
    </w:tblStylePr>
    <w:tblStylePr w:type="lastRow">
      <w:rPr>
        <w:b/>
      </w:rPr>
      <w:tblPr/>
      <w:tcPr>
        <w:shd w:val="clear" w:color="auto" w:fill="EAECEE" w:themeFill="accent4" w:themeFillTint="33"/>
      </w:tcPr>
    </w:tblStylePr>
    <w:tblStylePr w:type="firstCol">
      <w:rPr>
        <w:b/>
        <w:color w:val="auto"/>
      </w:rPr>
    </w:tblStylePr>
    <w:tblStylePr w:type="lastCol">
      <w:pPr>
        <w:jc w:val="right"/>
      </w:pPr>
      <w:rPr>
        <w:b/>
      </w:rPr>
    </w:tblStylePr>
    <w:tblStylePr w:type="band1Horz">
      <w:tblPr/>
      <w:tcPr>
        <w:shd w:val="clear" w:color="auto" w:fill="EAECEE" w:themeFill="accent4" w:themeFillTint="33"/>
      </w:tcPr>
    </w:tblStylePr>
    <w:tblStylePr w:type="band2Horz">
      <w:tblPr/>
      <w:tcPr>
        <w:shd w:val="clear" w:color="auto" w:fill="C1C8CE" w:themeFill="accent4" w:themeFillTint="99"/>
      </w:tcPr>
    </w:tblStylePr>
  </w:style>
  <w:style w:type="paragraph" w:styleId="Caption">
    <w:name w:val="caption"/>
    <w:next w:val="Normal"/>
    <w:uiPriority w:val="34"/>
    <w:qFormat/>
    <w:rsid w:val="00F15632"/>
    <w:pPr>
      <w:spacing w:before="60" w:after="360"/>
    </w:pPr>
    <w:rPr>
      <w:bCs/>
      <w:i/>
      <w:sz w:val="16"/>
      <w:szCs w:val="18"/>
    </w:rPr>
  </w:style>
  <w:style w:type="paragraph" w:styleId="Header">
    <w:name w:val="header"/>
    <w:basedOn w:val="Normal"/>
    <w:link w:val="HeaderChar"/>
    <w:uiPriority w:val="99"/>
    <w:rsid w:val="00722F9F"/>
    <w:pPr>
      <w:numPr>
        <w:numId w:val="0"/>
      </w:num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E93F74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E0C10"/>
    <w:rPr>
      <w:noProof w:val="0"/>
      <w:color w:val="000000" w:themeColor="text1"/>
      <w:sz w:val="22"/>
      <w:lang w:val="en-AU"/>
    </w:rPr>
  </w:style>
  <w:style w:type="paragraph" w:styleId="ListNumber4">
    <w:name w:val="List Number 4"/>
    <w:basedOn w:val="Normal"/>
    <w:uiPriority w:val="16"/>
    <w:semiHidden/>
    <w:qFormat/>
    <w:locked/>
    <w:rsid w:val="00A909CC"/>
    <w:pPr>
      <w:numPr>
        <w:numId w:val="0"/>
      </w:numPr>
    </w:pPr>
  </w:style>
  <w:style w:type="character" w:styleId="Hyperlink">
    <w:name w:val="Hyperlink"/>
    <w:basedOn w:val="DefaultParagraphFont"/>
    <w:uiPriority w:val="99"/>
    <w:rsid w:val="00616C90"/>
    <w:rPr>
      <w:noProof w:val="0"/>
      <w:color w:val="0000FF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012169" w:themeColor="accent1"/>
        <w:left w:val="single" w:sz="2" w:space="10" w:color="012169" w:themeColor="accent1"/>
        <w:bottom w:val="single" w:sz="2" w:space="10" w:color="012169" w:themeColor="accent1"/>
        <w:right w:val="single" w:sz="2" w:space="10" w:color="012169" w:themeColor="accent1"/>
      </w:pBdr>
      <w:ind w:left="1152" w:right="1152"/>
    </w:pPr>
    <w:rPr>
      <w:rFonts w:asciiTheme="minorHAnsi" w:eastAsiaTheme="minorEastAsia" w:hAnsiTheme="minorHAnsi"/>
      <w:i/>
      <w:iCs/>
      <w:color w:val="01216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</w:style>
  <w:style w:type="table" w:styleId="ColorfulGrid">
    <w:name w:val="Colorful Grid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C7FE" w:themeFill="accent1" w:themeFillTint="33"/>
    </w:tcPr>
    <w:tblStylePr w:type="firstRow">
      <w:rPr>
        <w:b/>
        <w:bCs/>
      </w:rPr>
      <w:tblPr/>
      <w:tcPr>
        <w:shd w:val="clear" w:color="auto" w:fill="5E8F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E8F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84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84E" w:themeFill="accent1" w:themeFillShade="BF"/>
      </w:tc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shd w:val="clear" w:color="auto" w:fill="3773FD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0FF" w:themeFill="accent2" w:themeFillTint="33"/>
    </w:tcPr>
    <w:tblStylePr w:type="firstRow">
      <w:rPr>
        <w:b/>
        <w:bCs/>
      </w:rPr>
      <w:tblPr/>
      <w:tcPr>
        <w:shd w:val="clear" w:color="auto" w:fill="8CE2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2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E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EA7" w:themeFill="accent2" w:themeFillShade="BF"/>
      </w:tc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shd w:val="clear" w:color="auto" w:fill="70DBF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3FF" w:themeFill="accent3" w:themeFillTint="33"/>
    </w:tcPr>
    <w:tblStylePr w:type="firstRow">
      <w:rPr>
        <w:b/>
        <w:bCs/>
      </w:rPr>
      <w:tblPr/>
      <w:tcPr>
        <w:shd w:val="clear" w:color="auto" w:fill="85C8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C8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5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59A" w:themeFill="accent3" w:themeFillShade="BF"/>
      </w:tcPr>
    </w:tblStylePr>
    <w:tblStylePr w:type="band1Vert">
      <w:tblPr/>
      <w:tcPr>
        <w:shd w:val="clear" w:color="auto" w:fill="67BBFF" w:themeFill="accent3" w:themeFillTint="7F"/>
      </w:tcPr>
    </w:tblStylePr>
    <w:tblStylePr w:type="band1Horz">
      <w:tblPr/>
      <w:tcPr>
        <w:shd w:val="clear" w:color="auto" w:fill="67BBFF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CEE" w:themeFill="accent4" w:themeFillTint="33"/>
    </w:tcPr>
    <w:tblStylePr w:type="firstRow">
      <w:rPr>
        <w:b/>
        <w:bCs/>
      </w:rPr>
      <w:tblPr/>
      <w:tcPr>
        <w:shd w:val="clear" w:color="auto" w:fill="D5DA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A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B7B8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B7B88" w:themeFill="accent4" w:themeFillShade="BF"/>
      </w:tcPr>
    </w:tblStylePr>
    <w:tblStylePr w:type="band1Vert">
      <w:tblPr/>
      <w:tcPr>
        <w:shd w:val="clear" w:color="auto" w:fill="CBD1D6" w:themeFill="accent4" w:themeFillTint="7F"/>
      </w:tcPr>
    </w:tblStylePr>
    <w:tblStylePr w:type="band1Horz">
      <w:tblPr/>
      <w:tcPr>
        <w:shd w:val="clear" w:color="auto" w:fill="CBD1D6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3E9" w:themeFill="accent5" w:themeFillTint="33"/>
    </w:tcPr>
    <w:tblStylePr w:type="firstRow">
      <w:rPr>
        <w:b/>
        <w:bCs/>
      </w:rPr>
      <w:tblPr/>
      <w:tcPr>
        <w:shd w:val="clear" w:color="auto" w:fill="B4C8D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8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B576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B5767" w:themeFill="accent5" w:themeFillShade="BF"/>
      </w:tcPr>
    </w:tblStylePr>
    <w:tblStylePr w:type="band1Vert">
      <w:tblPr/>
      <w:tcPr>
        <w:shd w:val="clear" w:color="auto" w:fill="A2BBCA" w:themeFill="accent5" w:themeFillTint="7F"/>
      </w:tcPr>
    </w:tblStylePr>
    <w:tblStylePr w:type="band1Horz">
      <w:tblPr/>
      <w:tcPr>
        <w:shd w:val="clear" w:color="auto" w:fill="A2BBCA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3FA" w:themeFill="accent6" w:themeFillTint="33"/>
    </w:tcPr>
    <w:tblStylePr w:type="firstRow">
      <w:rPr>
        <w:b/>
        <w:bCs/>
      </w:rPr>
      <w:tblPr/>
      <w:tcPr>
        <w:shd w:val="clear" w:color="auto" w:fill="C6E7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E7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6A6D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6A6DC" w:themeFill="accent6" w:themeFillShade="BF"/>
      </w:tcPr>
    </w:tblStylePr>
    <w:tblStylePr w:type="band1Vert">
      <w:tblPr/>
      <w:tcPr>
        <w:shd w:val="clear" w:color="auto" w:fill="B8E2F3" w:themeFill="accent6" w:themeFillTint="7F"/>
      </w:tcPr>
    </w:tblStylePr>
    <w:tblStylePr w:type="band1Horz">
      <w:tblPr/>
      <w:tcPr>
        <w:shd w:val="clear" w:color="auto" w:fill="B8E2F3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D7E3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2F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shd w:val="clear" w:color="auto" w:fill="C5F0FF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1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8391" w:themeFill="accent4" w:themeFillShade="CC"/>
      </w:tcPr>
    </w:tblStylePr>
    <w:tblStylePr w:type="lastRow">
      <w:rPr>
        <w:b/>
        <w:bCs/>
        <w:color w:val="73839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  <w:tblStylePr w:type="band1Horz">
      <w:tblPr/>
      <w:tcPr>
        <w:shd w:val="clear" w:color="auto" w:fill="C2E3FF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4F5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A4" w:themeFill="accent3" w:themeFillShade="CC"/>
      </w:tcPr>
    </w:tblStylePr>
    <w:tblStylePr w:type="lastRow">
      <w:rPr>
        <w:b/>
        <w:bCs/>
        <w:color w:val="005B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  <w:tblStylePr w:type="band1Horz">
      <w:tblPr/>
      <w:tcPr>
        <w:shd w:val="clear" w:color="auto" w:fill="EAECEE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CF1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ACDE" w:themeFill="accent6" w:themeFillShade="CC"/>
      </w:tcPr>
    </w:tblStylePr>
    <w:tblStylePr w:type="lastRow">
      <w:rPr>
        <w:b/>
        <w:bCs/>
        <w:color w:val="35ACD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  <w:tblStylePr w:type="band1Horz">
      <w:tblPr/>
      <w:tcPr>
        <w:shd w:val="clear" w:color="auto" w:fill="D9E3E9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0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5D6F" w:themeFill="accent5" w:themeFillShade="CC"/>
      </w:tcPr>
    </w:tblStylePr>
    <w:tblStylePr w:type="lastRow">
      <w:rPr>
        <w:b/>
        <w:bCs/>
        <w:color w:val="3F5D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  <w:tblStylePr w:type="band1Horz">
      <w:tblPr/>
      <w:tcPr>
        <w:shd w:val="clear" w:color="auto" w:fill="E2F3FA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12169" w:themeColor="accent1"/>
        <w:bottom w:val="single" w:sz="4" w:space="0" w:color="012169" w:themeColor="accent1"/>
        <w:right w:val="single" w:sz="4" w:space="0" w:color="01216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3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E" w:themeColor="accent1" w:themeShade="99"/>
          <w:insideV w:val="nil"/>
        </w:tcBorders>
        <w:shd w:val="clear" w:color="auto" w:fill="00133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33E" w:themeFill="accent1" w:themeFillShade="99"/>
      </w:tcPr>
    </w:tblStylePr>
    <w:tblStylePr w:type="band1Vert">
      <w:tblPr/>
      <w:tcPr>
        <w:shd w:val="clear" w:color="auto" w:fill="5E8FFD" w:themeFill="accent1" w:themeFillTint="66"/>
      </w:tcPr>
    </w:tblStylePr>
    <w:tblStylePr w:type="band1Horz">
      <w:tblPr/>
      <w:tcPr>
        <w:shd w:val="clear" w:color="auto" w:fill="3773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0A9E0" w:themeColor="accent2"/>
        <w:bottom w:val="single" w:sz="4" w:space="0" w:color="00A9E0" w:themeColor="accent2"/>
        <w:right w:val="single" w:sz="4" w:space="0" w:color="00A9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86" w:themeColor="accent2" w:themeShade="99"/>
          <w:insideV w:val="nil"/>
        </w:tcBorders>
        <w:shd w:val="clear" w:color="auto" w:fill="0065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86" w:themeFill="accent2" w:themeFillShade="99"/>
      </w:tcPr>
    </w:tblStylePr>
    <w:tblStylePr w:type="band1Vert">
      <w:tblPr/>
      <w:tcPr>
        <w:shd w:val="clear" w:color="auto" w:fill="8CE2FF" w:themeFill="accent2" w:themeFillTint="66"/>
      </w:tcPr>
    </w:tblStylePr>
    <w:tblStylePr w:type="band1Horz">
      <w:tblPr/>
      <w:tcPr>
        <w:shd w:val="clear" w:color="auto" w:fill="70DB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98A4AE" w:themeColor="accent4"/>
        <w:left w:val="single" w:sz="4" w:space="0" w:color="0072CE" w:themeColor="accent3"/>
        <w:bottom w:val="single" w:sz="4" w:space="0" w:color="0072CE" w:themeColor="accent3"/>
        <w:right w:val="single" w:sz="4" w:space="0" w:color="0072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A4A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B" w:themeColor="accent3" w:themeShade="99"/>
          <w:insideV w:val="nil"/>
        </w:tcBorders>
        <w:shd w:val="clear" w:color="auto" w:fill="0044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B" w:themeFill="accent3" w:themeFillShade="99"/>
      </w:tcPr>
    </w:tblStylePr>
    <w:tblStylePr w:type="band1Vert">
      <w:tblPr/>
      <w:tcPr>
        <w:shd w:val="clear" w:color="auto" w:fill="85C8FF" w:themeFill="accent3" w:themeFillTint="66"/>
      </w:tcPr>
    </w:tblStylePr>
    <w:tblStylePr w:type="band1Horz">
      <w:tblPr/>
      <w:tcPr>
        <w:shd w:val="clear" w:color="auto" w:fill="67BB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72CE" w:themeColor="accent3"/>
        <w:left w:val="single" w:sz="4" w:space="0" w:color="98A4AE" w:themeColor="accent4"/>
        <w:bottom w:val="single" w:sz="4" w:space="0" w:color="98A4AE" w:themeColor="accent4"/>
        <w:right w:val="single" w:sz="4" w:space="0" w:color="98A4A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626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626D" w:themeColor="accent4" w:themeShade="99"/>
          <w:insideV w:val="nil"/>
        </w:tcBorders>
        <w:shd w:val="clear" w:color="auto" w:fill="56626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26D" w:themeFill="accent4" w:themeFillShade="99"/>
      </w:tcPr>
    </w:tblStylePr>
    <w:tblStylePr w:type="band1Vert">
      <w:tblPr/>
      <w:tcPr>
        <w:shd w:val="clear" w:color="auto" w:fill="D5DADE" w:themeFill="accent4" w:themeFillTint="66"/>
      </w:tcPr>
    </w:tblStylePr>
    <w:tblStylePr w:type="band1Horz">
      <w:tblPr/>
      <w:tcPr>
        <w:shd w:val="clear" w:color="auto" w:fill="CBD1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71C5E8" w:themeColor="accent6"/>
        <w:left w:val="single" w:sz="4" w:space="0" w:color="4F758B" w:themeColor="accent5"/>
        <w:bottom w:val="single" w:sz="4" w:space="0" w:color="4F758B" w:themeColor="accent5"/>
        <w:right w:val="single" w:sz="4" w:space="0" w:color="4F758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C5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6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653" w:themeColor="accent5" w:themeShade="99"/>
          <w:insideV w:val="nil"/>
        </w:tcBorders>
        <w:shd w:val="clear" w:color="auto" w:fill="2F46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653" w:themeFill="accent5" w:themeFillShade="99"/>
      </w:tcPr>
    </w:tblStylePr>
    <w:tblStylePr w:type="band1Vert">
      <w:tblPr/>
      <w:tcPr>
        <w:shd w:val="clear" w:color="auto" w:fill="B4C8D4" w:themeFill="accent5" w:themeFillTint="66"/>
      </w:tcPr>
    </w:tblStylePr>
    <w:tblStylePr w:type="band1Horz">
      <w:tblPr/>
      <w:tcPr>
        <w:shd w:val="clear" w:color="auto" w:fill="A2BB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4F758B" w:themeColor="accent5"/>
        <w:left w:val="single" w:sz="4" w:space="0" w:color="71C5E8" w:themeColor="accent6"/>
        <w:bottom w:val="single" w:sz="4" w:space="0" w:color="71C5E8" w:themeColor="accent6"/>
        <w:right w:val="single" w:sz="4" w:space="0" w:color="71C5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75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86B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86B2" w:themeColor="accent6" w:themeShade="99"/>
          <w:insideV w:val="nil"/>
        </w:tcBorders>
        <w:shd w:val="clear" w:color="auto" w:fill="1D86B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6B2" w:themeFill="accent6" w:themeFillShade="99"/>
      </w:tcPr>
    </w:tblStylePr>
    <w:tblStylePr w:type="band1Vert">
      <w:tblPr/>
      <w:tcPr>
        <w:shd w:val="clear" w:color="auto" w:fill="C6E7F5" w:themeFill="accent6" w:themeFillTint="66"/>
      </w:tcPr>
    </w:tblStylePr>
    <w:tblStylePr w:type="band1Horz">
      <w:tblPr/>
      <w:tcPr>
        <w:shd w:val="clear" w:color="auto" w:fill="B8E2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216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03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84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9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3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8A4A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525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7B8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7B8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B8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B88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758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A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76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76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76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767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1C5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6F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A6D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A6D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A6D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A6D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F80750"/>
  </w:style>
  <w:style w:type="character" w:customStyle="1" w:styleId="DateChar">
    <w:name w:val="Date Char"/>
    <w:basedOn w:val="DefaultParagraphFont"/>
    <w:link w:val="Date"/>
    <w:uiPriority w:val="99"/>
    <w:semiHidden/>
    <w:rsid w:val="00F80750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semiHidden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semiHidden/>
    <w:rsid w:val="00722F9F"/>
    <w:pPr>
      <w:numPr>
        <w:numId w:val="0"/>
      </w:num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73E5"/>
    <w:rPr>
      <w:sz w:val="16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rsid w:val="00355D40"/>
    <w:rPr>
      <w:noProof w:val="0"/>
      <w:color w:val="7030A0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0573E5"/>
    <w:rPr>
      <w:noProof w:val="0"/>
      <w:sz w:val="18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C0373C"/>
    <w:pPr>
      <w:numPr>
        <w:numId w:val="0"/>
      </w:numPr>
      <w:tabs>
        <w:tab w:val="left" w:pos="170"/>
      </w:tabs>
      <w:spacing w:after="120"/>
      <w:ind w:left="170" w:hanging="17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373C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E529F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004ED1"/>
    <w:rPr>
      <w:rFonts w:asciiTheme="majorHAnsi" w:eastAsiaTheme="majorEastAsia" w:hAnsiTheme="majorHAnsi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C6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C63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C63"/>
    <w:rPr>
      <w:rFonts w:asciiTheme="majorHAnsi" w:eastAsiaTheme="majorEastAsia" w:hAnsiTheme="majorHAnsi" w:cstheme="majorBidi"/>
      <w:i/>
      <w:iCs/>
      <w:color w:val="000000" w:themeColor="text1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01216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012169" w:themeColor="accent1"/>
      </w:pBdr>
      <w:spacing w:before="200" w:after="280"/>
      <w:ind w:left="936" w:right="936"/>
    </w:pPr>
    <w:rPr>
      <w:b/>
      <w:bCs/>
      <w:i/>
      <w:iCs/>
      <w:color w:val="01216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color w:val="012169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00A9E0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  <w:insideH w:val="single" w:sz="8" w:space="0" w:color="012169" w:themeColor="accent1"/>
        <w:insideV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18" w:space="0" w:color="012169" w:themeColor="accent1"/>
          <w:right w:val="single" w:sz="8" w:space="0" w:color="012169" w:themeColor="accent1"/>
          <w:insideH w:val="nil"/>
          <w:insideV w:val="single" w:sz="8" w:space="0" w:color="01216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H w:val="nil"/>
          <w:insideV w:val="single" w:sz="8" w:space="0" w:color="01216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band1Vert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  <w:shd w:val="clear" w:color="auto" w:fill="9BB9FE" w:themeFill="accent1" w:themeFillTint="3F"/>
      </w:tcPr>
    </w:tblStylePr>
    <w:tblStylePr w:type="band1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V w:val="single" w:sz="8" w:space="0" w:color="012169" w:themeColor="accent1"/>
        </w:tcBorders>
        <w:shd w:val="clear" w:color="auto" w:fill="9BB9FE" w:themeFill="accent1" w:themeFillTint="3F"/>
      </w:tcPr>
    </w:tblStylePr>
    <w:tblStylePr w:type="band2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V w:val="single" w:sz="8" w:space="0" w:color="01216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  <w:insideH w:val="single" w:sz="8" w:space="0" w:color="00A9E0" w:themeColor="accent2"/>
        <w:insideV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18" w:space="0" w:color="00A9E0" w:themeColor="accent2"/>
          <w:right w:val="single" w:sz="8" w:space="0" w:color="00A9E0" w:themeColor="accent2"/>
          <w:insideH w:val="nil"/>
          <w:insideV w:val="single" w:sz="8" w:space="0" w:color="00A9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H w:val="nil"/>
          <w:insideV w:val="single" w:sz="8" w:space="0" w:color="00A9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band1Vert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  <w:shd w:val="clear" w:color="auto" w:fill="B8EDFF" w:themeFill="accent2" w:themeFillTint="3F"/>
      </w:tcPr>
    </w:tblStylePr>
    <w:tblStylePr w:type="band1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V w:val="single" w:sz="8" w:space="0" w:color="00A9E0" w:themeColor="accent2"/>
        </w:tcBorders>
        <w:shd w:val="clear" w:color="auto" w:fill="B8EDFF" w:themeFill="accent2" w:themeFillTint="3F"/>
      </w:tcPr>
    </w:tblStylePr>
    <w:tblStylePr w:type="band2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V w:val="single" w:sz="8" w:space="0" w:color="00A9E0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  <w:insideH w:val="single" w:sz="8" w:space="0" w:color="0072CE" w:themeColor="accent3"/>
        <w:insideV w:val="single" w:sz="8" w:space="0" w:color="0072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18" w:space="0" w:color="0072CE" w:themeColor="accent3"/>
          <w:right w:val="single" w:sz="8" w:space="0" w:color="0072CE" w:themeColor="accent3"/>
          <w:insideH w:val="nil"/>
          <w:insideV w:val="single" w:sz="8" w:space="0" w:color="0072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  <w:insideH w:val="nil"/>
          <w:insideV w:val="single" w:sz="8" w:space="0" w:color="0072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  <w:tblStylePr w:type="band1Vert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  <w:shd w:val="clear" w:color="auto" w:fill="B3DDFF" w:themeFill="accent3" w:themeFillTint="3F"/>
      </w:tcPr>
    </w:tblStylePr>
    <w:tblStylePr w:type="band1Horz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  <w:insideV w:val="single" w:sz="8" w:space="0" w:color="0072CE" w:themeColor="accent3"/>
        </w:tcBorders>
        <w:shd w:val="clear" w:color="auto" w:fill="B3DDFF" w:themeFill="accent3" w:themeFillTint="3F"/>
      </w:tcPr>
    </w:tblStylePr>
    <w:tblStylePr w:type="band2Horz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  <w:insideV w:val="single" w:sz="8" w:space="0" w:color="0072CE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  <w:insideH w:val="single" w:sz="8" w:space="0" w:color="98A4AE" w:themeColor="accent4"/>
        <w:insideV w:val="single" w:sz="8" w:space="0" w:color="98A4A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18" w:space="0" w:color="98A4AE" w:themeColor="accent4"/>
          <w:right w:val="single" w:sz="8" w:space="0" w:color="98A4AE" w:themeColor="accent4"/>
          <w:insideH w:val="nil"/>
          <w:insideV w:val="single" w:sz="8" w:space="0" w:color="98A4A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  <w:insideH w:val="nil"/>
          <w:insideV w:val="single" w:sz="8" w:space="0" w:color="98A4A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  <w:tblStylePr w:type="band1Vert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  <w:shd w:val="clear" w:color="auto" w:fill="E5E8EB" w:themeFill="accent4" w:themeFillTint="3F"/>
      </w:tcPr>
    </w:tblStylePr>
    <w:tblStylePr w:type="band1Horz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  <w:insideV w:val="single" w:sz="8" w:space="0" w:color="98A4AE" w:themeColor="accent4"/>
        </w:tcBorders>
        <w:shd w:val="clear" w:color="auto" w:fill="E5E8EB" w:themeFill="accent4" w:themeFillTint="3F"/>
      </w:tcPr>
    </w:tblStylePr>
    <w:tblStylePr w:type="band2Horz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  <w:insideV w:val="single" w:sz="8" w:space="0" w:color="98A4AE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  <w:insideH w:val="single" w:sz="8" w:space="0" w:color="4F758B" w:themeColor="accent5"/>
        <w:insideV w:val="single" w:sz="8" w:space="0" w:color="4F758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18" w:space="0" w:color="4F758B" w:themeColor="accent5"/>
          <w:right w:val="single" w:sz="8" w:space="0" w:color="4F758B" w:themeColor="accent5"/>
          <w:insideH w:val="nil"/>
          <w:insideV w:val="single" w:sz="8" w:space="0" w:color="4F758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  <w:insideH w:val="nil"/>
          <w:insideV w:val="single" w:sz="8" w:space="0" w:color="4F758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  <w:tblStylePr w:type="band1Vert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  <w:shd w:val="clear" w:color="auto" w:fill="D0DDE4" w:themeFill="accent5" w:themeFillTint="3F"/>
      </w:tcPr>
    </w:tblStylePr>
    <w:tblStylePr w:type="band1Horz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  <w:insideV w:val="single" w:sz="8" w:space="0" w:color="4F758B" w:themeColor="accent5"/>
        </w:tcBorders>
        <w:shd w:val="clear" w:color="auto" w:fill="D0DDE4" w:themeFill="accent5" w:themeFillTint="3F"/>
      </w:tcPr>
    </w:tblStylePr>
    <w:tblStylePr w:type="band2Horz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  <w:insideV w:val="single" w:sz="8" w:space="0" w:color="4F758B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  <w:insideH w:val="single" w:sz="8" w:space="0" w:color="71C5E8" w:themeColor="accent6"/>
        <w:insideV w:val="single" w:sz="8" w:space="0" w:color="71C5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18" w:space="0" w:color="71C5E8" w:themeColor="accent6"/>
          <w:right w:val="single" w:sz="8" w:space="0" w:color="71C5E8" w:themeColor="accent6"/>
          <w:insideH w:val="nil"/>
          <w:insideV w:val="single" w:sz="8" w:space="0" w:color="71C5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  <w:insideH w:val="nil"/>
          <w:insideV w:val="single" w:sz="8" w:space="0" w:color="71C5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  <w:tblStylePr w:type="band1Vert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  <w:shd w:val="clear" w:color="auto" w:fill="DBF0F9" w:themeFill="accent6" w:themeFillTint="3F"/>
      </w:tcPr>
    </w:tblStylePr>
    <w:tblStylePr w:type="band1Horz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  <w:insideV w:val="single" w:sz="8" w:space="0" w:color="71C5E8" w:themeColor="accent6"/>
        </w:tcBorders>
        <w:shd w:val="clear" w:color="auto" w:fill="DBF0F9" w:themeFill="accent6" w:themeFillTint="3F"/>
      </w:tcPr>
    </w:tblStylePr>
    <w:tblStylePr w:type="band2Horz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  <w:insideV w:val="single" w:sz="8" w:space="0" w:color="71C5E8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band1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band1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  <w:tblStylePr w:type="band1Horz">
      <w:tblPr/>
      <w:tcPr>
        <w:tcBorders>
          <w:top w:val="single" w:sz="8" w:space="0" w:color="0072CE" w:themeColor="accent3"/>
          <w:left w:val="single" w:sz="8" w:space="0" w:color="0072CE" w:themeColor="accent3"/>
          <w:bottom w:val="single" w:sz="8" w:space="0" w:color="0072CE" w:themeColor="accent3"/>
          <w:right w:val="single" w:sz="8" w:space="0" w:color="0072CE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A4A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  <w:tblStylePr w:type="band1Horz">
      <w:tblPr/>
      <w:tcPr>
        <w:tcBorders>
          <w:top w:val="single" w:sz="8" w:space="0" w:color="98A4AE" w:themeColor="accent4"/>
          <w:left w:val="single" w:sz="8" w:space="0" w:color="98A4AE" w:themeColor="accent4"/>
          <w:bottom w:val="single" w:sz="8" w:space="0" w:color="98A4AE" w:themeColor="accent4"/>
          <w:right w:val="single" w:sz="8" w:space="0" w:color="98A4AE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5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  <w:tblStylePr w:type="band1Horz">
      <w:tblPr/>
      <w:tcPr>
        <w:tcBorders>
          <w:top w:val="single" w:sz="8" w:space="0" w:color="4F758B" w:themeColor="accent5"/>
          <w:left w:val="single" w:sz="8" w:space="0" w:color="4F758B" w:themeColor="accent5"/>
          <w:bottom w:val="single" w:sz="8" w:space="0" w:color="4F758B" w:themeColor="accent5"/>
          <w:right w:val="single" w:sz="8" w:space="0" w:color="4F758B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C5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  <w:tblStylePr w:type="band1Horz">
      <w:tblPr/>
      <w:tcPr>
        <w:tcBorders>
          <w:top w:val="single" w:sz="8" w:space="0" w:color="71C5E8" w:themeColor="accent6"/>
          <w:left w:val="single" w:sz="8" w:space="0" w:color="71C5E8" w:themeColor="accent6"/>
          <w:bottom w:val="single" w:sz="8" w:space="0" w:color="71C5E8" w:themeColor="accent6"/>
          <w:right w:val="single" w:sz="8" w:space="0" w:color="71C5E8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/>
    </w:pPr>
    <w:rPr>
      <w:color w:val="00184E" w:themeColor="accent1" w:themeShade="BF"/>
    </w:rPr>
    <w:tblPr>
      <w:tblStyleRowBandSize w:val="1"/>
      <w:tblStyleColBandSize w:val="1"/>
      <w:tblBorders>
        <w:top w:val="single" w:sz="8" w:space="0" w:color="012169" w:themeColor="accent1"/>
        <w:bottom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2169" w:themeColor="accent1"/>
          <w:left w:val="nil"/>
          <w:bottom w:val="single" w:sz="8" w:space="0" w:color="01216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2169" w:themeColor="accent1"/>
          <w:left w:val="nil"/>
          <w:bottom w:val="single" w:sz="8" w:space="0" w:color="01216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/>
    </w:pPr>
    <w:rPr>
      <w:color w:val="007EA7" w:themeColor="accent2" w:themeShade="BF"/>
    </w:rPr>
    <w:tblPr>
      <w:tblStyleRowBandSize w:val="1"/>
      <w:tblStyleColBandSize w:val="1"/>
      <w:tblBorders>
        <w:top w:val="single" w:sz="8" w:space="0" w:color="00A9E0" w:themeColor="accent2"/>
        <w:bottom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2"/>
          <w:left w:val="nil"/>
          <w:bottom w:val="single" w:sz="8" w:space="0" w:color="00A9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2"/>
          <w:left w:val="nil"/>
          <w:bottom w:val="single" w:sz="8" w:space="0" w:color="00A9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/>
    </w:pPr>
    <w:rPr>
      <w:color w:val="00559A" w:themeColor="accent3" w:themeShade="BF"/>
    </w:rPr>
    <w:tblPr>
      <w:tblStyleRowBandSize w:val="1"/>
      <w:tblStyleColBandSize w:val="1"/>
      <w:tblBorders>
        <w:top w:val="single" w:sz="8" w:space="0" w:color="0072CE" w:themeColor="accent3"/>
        <w:bottom w:val="single" w:sz="8" w:space="0" w:color="0072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3"/>
          <w:left w:val="nil"/>
          <w:bottom w:val="single" w:sz="8" w:space="0" w:color="0072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3"/>
          <w:left w:val="nil"/>
          <w:bottom w:val="single" w:sz="8" w:space="0" w:color="0072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/>
    </w:pPr>
    <w:rPr>
      <w:color w:val="6B7B88" w:themeColor="accent4" w:themeShade="BF"/>
    </w:rPr>
    <w:tblPr>
      <w:tblStyleRowBandSize w:val="1"/>
      <w:tblStyleColBandSize w:val="1"/>
      <w:tblBorders>
        <w:top w:val="single" w:sz="8" w:space="0" w:color="98A4AE" w:themeColor="accent4"/>
        <w:bottom w:val="single" w:sz="8" w:space="0" w:color="98A4A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A4AE" w:themeColor="accent4"/>
          <w:left w:val="nil"/>
          <w:bottom w:val="single" w:sz="8" w:space="0" w:color="98A4A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A4AE" w:themeColor="accent4"/>
          <w:left w:val="nil"/>
          <w:bottom w:val="single" w:sz="8" w:space="0" w:color="98A4A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/>
    </w:pPr>
    <w:rPr>
      <w:color w:val="3B5767" w:themeColor="accent5" w:themeShade="BF"/>
    </w:rPr>
    <w:tblPr>
      <w:tblStyleRowBandSize w:val="1"/>
      <w:tblStyleColBandSize w:val="1"/>
      <w:tblBorders>
        <w:top w:val="single" w:sz="8" w:space="0" w:color="4F758B" w:themeColor="accent5"/>
        <w:bottom w:val="single" w:sz="8" w:space="0" w:color="4F75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58B" w:themeColor="accent5"/>
          <w:left w:val="nil"/>
          <w:bottom w:val="single" w:sz="8" w:space="0" w:color="4F75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58B" w:themeColor="accent5"/>
          <w:left w:val="nil"/>
          <w:bottom w:val="single" w:sz="8" w:space="0" w:color="4F75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/>
    </w:pPr>
    <w:rPr>
      <w:color w:val="26A6DC" w:themeColor="accent6" w:themeShade="BF"/>
    </w:rPr>
    <w:tblPr>
      <w:tblStyleRowBandSize w:val="1"/>
      <w:tblStyleColBandSize w:val="1"/>
      <w:tblBorders>
        <w:top w:val="single" w:sz="8" w:space="0" w:color="71C5E8" w:themeColor="accent6"/>
        <w:bottom w:val="single" w:sz="8" w:space="0" w:color="71C5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C5E8" w:themeColor="accent6"/>
          <w:left w:val="nil"/>
          <w:bottom w:val="single" w:sz="8" w:space="0" w:color="71C5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C5E8" w:themeColor="accent6"/>
          <w:left w:val="nil"/>
          <w:bottom w:val="single" w:sz="8" w:space="0" w:color="71C5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17"/>
    <w:qFormat/>
    <w:rsid w:val="00A8129D"/>
    <w:pPr>
      <w:numPr>
        <w:ilvl w:val="1"/>
      </w:numPr>
    </w:pPr>
  </w:style>
  <w:style w:type="paragraph" w:styleId="List2">
    <w:name w:val="List 2"/>
    <w:basedOn w:val="Normal"/>
    <w:uiPriority w:val="17"/>
    <w:qFormat/>
    <w:rsid w:val="00A8129D"/>
    <w:pPr>
      <w:numPr>
        <w:ilvl w:val="2"/>
      </w:numPr>
    </w:pPr>
  </w:style>
  <w:style w:type="paragraph" w:styleId="List3">
    <w:name w:val="List 3"/>
    <w:basedOn w:val="Normal"/>
    <w:uiPriority w:val="17"/>
    <w:qFormat/>
    <w:rsid w:val="00A8129D"/>
    <w:pPr>
      <w:numPr>
        <w:ilvl w:val="3"/>
      </w:numPr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"/>
      </w:numPr>
      <w:contextualSpacing/>
    </w:pPr>
  </w:style>
  <w:style w:type="paragraph" w:styleId="ListParagraph">
    <w:name w:val="List Paragraph"/>
    <w:uiPriority w:val="17"/>
    <w:qFormat/>
    <w:rsid w:val="006D315C"/>
    <w:pPr>
      <w:tabs>
        <w:tab w:val="left" w:pos="425"/>
        <w:tab w:val="left" w:pos="851"/>
      </w:tabs>
      <w:ind w:left="425"/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240CD" w:themeColor="accent1" w:themeTint="BF"/>
        <w:left w:val="single" w:sz="8" w:space="0" w:color="0240CD" w:themeColor="accent1" w:themeTint="BF"/>
        <w:bottom w:val="single" w:sz="8" w:space="0" w:color="0240CD" w:themeColor="accent1" w:themeTint="BF"/>
        <w:right w:val="single" w:sz="8" w:space="0" w:color="0240CD" w:themeColor="accent1" w:themeTint="BF"/>
        <w:insideH w:val="single" w:sz="8" w:space="0" w:color="0240CD" w:themeColor="accent1" w:themeTint="BF"/>
        <w:insideV w:val="single" w:sz="8" w:space="0" w:color="0240CD" w:themeColor="accent1" w:themeTint="BF"/>
      </w:tblBorders>
    </w:tblPr>
    <w:tcPr>
      <w:shd w:val="clear" w:color="auto" w:fill="9BB9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4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shd w:val="clear" w:color="auto" w:fill="3773FD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28CAFF" w:themeColor="accent2" w:themeTint="BF"/>
        <w:left w:val="single" w:sz="8" w:space="0" w:color="28CAFF" w:themeColor="accent2" w:themeTint="BF"/>
        <w:bottom w:val="single" w:sz="8" w:space="0" w:color="28CAFF" w:themeColor="accent2" w:themeTint="BF"/>
        <w:right w:val="single" w:sz="8" w:space="0" w:color="28CAFF" w:themeColor="accent2" w:themeTint="BF"/>
        <w:insideH w:val="single" w:sz="8" w:space="0" w:color="28CAFF" w:themeColor="accent2" w:themeTint="BF"/>
        <w:insideV w:val="single" w:sz="8" w:space="0" w:color="28CAFF" w:themeColor="accent2" w:themeTint="BF"/>
      </w:tblBorders>
    </w:tblPr>
    <w:tcPr>
      <w:shd w:val="clear" w:color="auto" w:fill="B8E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shd w:val="clear" w:color="auto" w:fill="70DBF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B99FF" w:themeColor="accent3" w:themeTint="BF"/>
        <w:left w:val="single" w:sz="8" w:space="0" w:color="1B99FF" w:themeColor="accent3" w:themeTint="BF"/>
        <w:bottom w:val="single" w:sz="8" w:space="0" w:color="1B99FF" w:themeColor="accent3" w:themeTint="BF"/>
        <w:right w:val="single" w:sz="8" w:space="0" w:color="1B99FF" w:themeColor="accent3" w:themeTint="BF"/>
        <w:insideH w:val="single" w:sz="8" w:space="0" w:color="1B99FF" w:themeColor="accent3" w:themeTint="BF"/>
        <w:insideV w:val="single" w:sz="8" w:space="0" w:color="1B99FF" w:themeColor="accent3" w:themeTint="BF"/>
      </w:tblBorders>
    </w:tblPr>
    <w:tcPr>
      <w:shd w:val="clear" w:color="auto" w:fill="B3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99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BBFF" w:themeFill="accent3" w:themeFillTint="7F"/>
      </w:tcPr>
    </w:tblStylePr>
    <w:tblStylePr w:type="band1Horz">
      <w:tblPr/>
      <w:tcPr>
        <w:shd w:val="clear" w:color="auto" w:fill="67BBFF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B1BAC2" w:themeColor="accent4" w:themeTint="BF"/>
        <w:left w:val="single" w:sz="8" w:space="0" w:color="B1BAC2" w:themeColor="accent4" w:themeTint="BF"/>
        <w:bottom w:val="single" w:sz="8" w:space="0" w:color="B1BAC2" w:themeColor="accent4" w:themeTint="BF"/>
        <w:right w:val="single" w:sz="8" w:space="0" w:color="B1BAC2" w:themeColor="accent4" w:themeTint="BF"/>
        <w:insideH w:val="single" w:sz="8" w:space="0" w:color="B1BAC2" w:themeColor="accent4" w:themeTint="BF"/>
        <w:insideV w:val="single" w:sz="8" w:space="0" w:color="B1BAC2" w:themeColor="accent4" w:themeTint="BF"/>
      </w:tblBorders>
    </w:tblPr>
    <w:tcPr>
      <w:shd w:val="clear" w:color="auto" w:fill="E5E8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BA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1D6" w:themeFill="accent4" w:themeFillTint="7F"/>
      </w:tcPr>
    </w:tblStylePr>
    <w:tblStylePr w:type="band1Horz">
      <w:tblPr/>
      <w:tcPr>
        <w:shd w:val="clear" w:color="auto" w:fill="CBD1D6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399AF" w:themeColor="accent5" w:themeTint="BF"/>
        <w:left w:val="single" w:sz="8" w:space="0" w:color="7399AF" w:themeColor="accent5" w:themeTint="BF"/>
        <w:bottom w:val="single" w:sz="8" w:space="0" w:color="7399AF" w:themeColor="accent5" w:themeTint="BF"/>
        <w:right w:val="single" w:sz="8" w:space="0" w:color="7399AF" w:themeColor="accent5" w:themeTint="BF"/>
        <w:insideH w:val="single" w:sz="8" w:space="0" w:color="7399AF" w:themeColor="accent5" w:themeTint="BF"/>
        <w:insideV w:val="single" w:sz="8" w:space="0" w:color="7399AF" w:themeColor="accent5" w:themeTint="BF"/>
      </w:tblBorders>
    </w:tblPr>
    <w:tcPr>
      <w:shd w:val="clear" w:color="auto" w:fill="D0DD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99A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BCA" w:themeFill="accent5" w:themeFillTint="7F"/>
      </w:tcPr>
    </w:tblStylePr>
    <w:tblStylePr w:type="band1Horz">
      <w:tblPr/>
      <w:tcPr>
        <w:shd w:val="clear" w:color="auto" w:fill="A2BBCA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4D3ED" w:themeColor="accent6" w:themeTint="BF"/>
        <w:left w:val="single" w:sz="8" w:space="0" w:color="94D3ED" w:themeColor="accent6" w:themeTint="BF"/>
        <w:bottom w:val="single" w:sz="8" w:space="0" w:color="94D3ED" w:themeColor="accent6" w:themeTint="BF"/>
        <w:right w:val="single" w:sz="8" w:space="0" w:color="94D3ED" w:themeColor="accent6" w:themeTint="BF"/>
        <w:insideH w:val="single" w:sz="8" w:space="0" w:color="94D3ED" w:themeColor="accent6" w:themeTint="BF"/>
        <w:insideV w:val="single" w:sz="8" w:space="0" w:color="94D3ED" w:themeColor="accent6" w:themeTint="BF"/>
      </w:tblBorders>
    </w:tblPr>
    <w:tcPr>
      <w:shd w:val="clear" w:color="auto" w:fill="DBF0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D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2F3" w:themeFill="accent6" w:themeFillTint="7F"/>
      </w:tcPr>
    </w:tblStylePr>
    <w:tblStylePr w:type="band1Horz">
      <w:tblPr/>
      <w:tcPr>
        <w:shd w:val="clear" w:color="auto" w:fill="B8E2F3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  <w:insideH w:val="single" w:sz="8" w:space="0" w:color="012169" w:themeColor="accent1"/>
        <w:insideV w:val="single" w:sz="8" w:space="0" w:color="012169" w:themeColor="accent1"/>
      </w:tblBorders>
    </w:tblPr>
    <w:tcPr>
      <w:shd w:val="clear" w:color="auto" w:fill="9BB9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7E3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C7FE" w:themeFill="accent1" w:themeFillTint="33"/>
      </w:tc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tcBorders>
          <w:insideH w:val="single" w:sz="6" w:space="0" w:color="012169" w:themeColor="accent1"/>
          <w:insideV w:val="single" w:sz="6" w:space="0" w:color="012169" w:themeColor="accent1"/>
        </w:tcBorders>
        <w:shd w:val="clear" w:color="auto" w:fill="3773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  <w:insideH w:val="single" w:sz="8" w:space="0" w:color="00A9E0" w:themeColor="accent2"/>
        <w:insideV w:val="single" w:sz="8" w:space="0" w:color="00A9E0" w:themeColor="accent2"/>
      </w:tblBorders>
    </w:tblPr>
    <w:tcPr>
      <w:shd w:val="clear" w:color="auto" w:fill="B8E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0FF" w:themeFill="accent2" w:themeFillTint="33"/>
      </w:tc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tcBorders>
          <w:insideH w:val="single" w:sz="6" w:space="0" w:color="00A9E0" w:themeColor="accent2"/>
          <w:insideV w:val="single" w:sz="6" w:space="0" w:color="00A9E0" w:themeColor="accent2"/>
        </w:tcBorders>
        <w:shd w:val="clear" w:color="auto" w:fill="70DB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  <w:insideH w:val="single" w:sz="8" w:space="0" w:color="0072CE" w:themeColor="accent3"/>
        <w:insideV w:val="single" w:sz="8" w:space="0" w:color="0072CE" w:themeColor="accent3"/>
      </w:tblBorders>
    </w:tblPr>
    <w:tcPr>
      <w:shd w:val="clear" w:color="auto" w:fill="B3D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1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accent3" w:themeFillTint="33"/>
      </w:tcPr>
    </w:tblStylePr>
    <w:tblStylePr w:type="band1Vert">
      <w:tblPr/>
      <w:tcPr>
        <w:shd w:val="clear" w:color="auto" w:fill="67BBFF" w:themeFill="accent3" w:themeFillTint="7F"/>
      </w:tcPr>
    </w:tblStylePr>
    <w:tblStylePr w:type="band1Horz">
      <w:tblPr/>
      <w:tcPr>
        <w:tcBorders>
          <w:insideH w:val="single" w:sz="6" w:space="0" w:color="0072CE" w:themeColor="accent3"/>
          <w:insideV w:val="single" w:sz="6" w:space="0" w:color="0072CE" w:themeColor="accent3"/>
        </w:tcBorders>
        <w:shd w:val="clear" w:color="auto" w:fill="67BB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  <w:insideH w:val="single" w:sz="8" w:space="0" w:color="98A4AE" w:themeColor="accent4"/>
        <w:insideV w:val="single" w:sz="8" w:space="0" w:color="98A4AE" w:themeColor="accent4"/>
      </w:tblBorders>
    </w:tblPr>
    <w:tcPr>
      <w:shd w:val="clear" w:color="auto" w:fill="E5E8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CEE" w:themeFill="accent4" w:themeFillTint="33"/>
      </w:tcPr>
    </w:tblStylePr>
    <w:tblStylePr w:type="band1Vert">
      <w:tblPr/>
      <w:tcPr>
        <w:shd w:val="clear" w:color="auto" w:fill="CBD1D6" w:themeFill="accent4" w:themeFillTint="7F"/>
      </w:tcPr>
    </w:tblStylePr>
    <w:tblStylePr w:type="band1Horz">
      <w:tblPr/>
      <w:tcPr>
        <w:tcBorders>
          <w:insideH w:val="single" w:sz="6" w:space="0" w:color="98A4AE" w:themeColor="accent4"/>
          <w:insideV w:val="single" w:sz="6" w:space="0" w:color="98A4AE" w:themeColor="accent4"/>
        </w:tcBorders>
        <w:shd w:val="clear" w:color="auto" w:fill="CBD1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  <w:insideH w:val="single" w:sz="8" w:space="0" w:color="4F758B" w:themeColor="accent5"/>
        <w:insideV w:val="single" w:sz="8" w:space="0" w:color="4F758B" w:themeColor="accent5"/>
      </w:tblBorders>
    </w:tblPr>
    <w:tcPr>
      <w:shd w:val="clear" w:color="auto" w:fill="D0DDE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3E9" w:themeFill="accent5" w:themeFillTint="33"/>
      </w:tcPr>
    </w:tblStylePr>
    <w:tblStylePr w:type="band1Vert">
      <w:tblPr/>
      <w:tcPr>
        <w:shd w:val="clear" w:color="auto" w:fill="A2BBCA" w:themeFill="accent5" w:themeFillTint="7F"/>
      </w:tcPr>
    </w:tblStylePr>
    <w:tblStylePr w:type="band1Horz">
      <w:tblPr/>
      <w:tcPr>
        <w:tcBorders>
          <w:insideH w:val="single" w:sz="6" w:space="0" w:color="4F758B" w:themeColor="accent5"/>
          <w:insideV w:val="single" w:sz="6" w:space="0" w:color="4F758B" w:themeColor="accent5"/>
        </w:tcBorders>
        <w:shd w:val="clear" w:color="auto" w:fill="A2BB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  <w:insideH w:val="single" w:sz="8" w:space="0" w:color="71C5E8" w:themeColor="accent6"/>
        <w:insideV w:val="single" w:sz="8" w:space="0" w:color="71C5E8" w:themeColor="accent6"/>
      </w:tblBorders>
    </w:tblPr>
    <w:tcPr>
      <w:shd w:val="clear" w:color="auto" w:fill="DBF0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 w:themeFill="accent6" w:themeFillTint="33"/>
      </w:tcPr>
    </w:tblStylePr>
    <w:tblStylePr w:type="band1Vert">
      <w:tblPr/>
      <w:tcPr>
        <w:shd w:val="clear" w:color="auto" w:fill="B8E2F3" w:themeFill="accent6" w:themeFillTint="7F"/>
      </w:tcPr>
    </w:tblStylePr>
    <w:tblStylePr w:type="band1Horz">
      <w:tblPr/>
      <w:tcPr>
        <w:tcBorders>
          <w:insideH w:val="single" w:sz="6" w:space="0" w:color="71C5E8" w:themeColor="accent6"/>
          <w:insideV w:val="single" w:sz="6" w:space="0" w:color="71C5E8" w:themeColor="accent6"/>
        </w:tcBorders>
        <w:shd w:val="clear" w:color="auto" w:fill="B8E2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BB9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216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216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216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216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773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773FD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B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BF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BB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BBFF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8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A4A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A4A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A4A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A4A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BD1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BD1D6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D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58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58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758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758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B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BCA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0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C5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C5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C5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C5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E2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E2F3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12169" w:themeColor="accent1"/>
        <w:bottom w:val="single" w:sz="8" w:space="0" w:color="01216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2169" w:themeColor="accent1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12169" w:themeColor="accent1"/>
          <w:bottom w:val="single" w:sz="8" w:space="0" w:color="0121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2169" w:themeColor="accent1"/>
          <w:bottom w:val="single" w:sz="8" w:space="0" w:color="012169" w:themeColor="accent1"/>
        </w:tcBorders>
      </w:tcPr>
    </w:tblStylePr>
    <w:tblStylePr w:type="band1Vert">
      <w:tblPr/>
      <w:tcPr>
        <w:shd w:val="clear" w:color="auto" w:fill="9BB9FE" w:themeFill="accent1" w:themeFillTint="3F"/>
      </w:tcPr>
    </w:tblStylePr>
    <w:tblStylePr w:type="band1Horz">
      <w:tblPr/>
      <w:tcPr>
        <w:shd w:val="clear" w:color="auto" w:fill="9BB9FE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9E0" w:themeColor="accent2"/>
        <w:bottom w:val="single" w:sz="8" w:space="0" w:color="00A9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E0" w:themeColor="accent2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0A9E0" w:themeColor="accent2"/>
          <w:bottom w:val="single" w:sz="8" w:space="0" w:color="00A9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E0" w:themeColor="accent2"/>
          <w:bottom w:val="single" w:sz="8" w:space="0" w:color="00A9E0" w:themeColor="accent2"/>
        </w:tcBorders>
      </w:tcPr>
    </w:tblStylePr>
    <w:tblStylePr w:type="band1Vert">
      <w:tblPr/>
      <w:tcPr>
        <w:shd w:val="clear" w:color="auto" w:fill="B8EDFF" w:themeFill="accent2" w:themeFillTint="3F"/>
      </w:tcPr>
    </w:tblStylePr>
    <w:tblStylePr w:type="band1Horz">
      <w:tblPr/>
      <w:tcPr>
        <w:shd w:val="clear" w:color="auto" w:fill="B8EDFF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72CE" w:themeColor="accent3"/>
        <w:bottom w:val="single" w:sz="8" w:space="0" w:color="0072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E" w:themeColor="accent3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0072CE" w:themeColor="accent3"/>
          <w:bottom w:val="single" w:sz="8" w:space="0" w:color="0072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E" w:themeColor="accent3"/>
          <w:bottom w:val="single" w:sz="8" w:space="0" w:color="0072CE" w:themeColor="accent3"/>
        </w:tcBorders>
      </w:tcPr>
    </w:tblStylePr>
    <w:tblStylePr w:type="band1Vert">
      <w:tblPr/>
      <w:tcPr>
        <w:shd w:val="clear" w:color="auto" w:fill="B3DDFF" w:themeFill="accent3" w:themeFillTint="3F"/>
      </w:tcPr>
    </w:tblStylePr>
    <w:tblStylePr w:type="band1Horz">
      <w:tblPr/>
      <w:tcPr>
        <w:shd w:val="clear" w:color="auto" w:fill="B3DDFF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8A4AE" w:themeColor="accent4"/>
        <w:bottom w:val="single" w:sz="8" w:space="0" w:color="98A4A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A4AE" w:themeColor="accent4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98A4AE" w:themeColor="accent4"/>
          <w:bottom w:val="single" w:sz="8" w:space="0" w:color="98A4A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A4AE" w:themeColor="accent4"/>
          <w:bottom w:val="single" w:sz="8" w:space="0" w:color="98A4AE" w:themeColor="accent4"/>
        </w:tcBorders>
      </w:tcPr>
    </w:tblStylePr>
    <w:tblStylePr w:type="band1Vert">
      <w:tblPr/>
      <w:tcPr>
        <w:shd w:val="clear" w:color="auto" w:fill="E5E8EB" w:themeFill="accent4" w:themeFillTint="3F"/>
      </w:tcPr>
    </w:tblStylePr>
    <w:tblStylePr w:type="band1Horz">
      <w:tblPr/>
      <w:tcPr>
        <w:shd w:val="clear" w:color="auto" w:fill="E5E8EB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F758B" w:themeColor="accent5"/>
        <w:bottom w:val="single" w:sz="8" w:space="0" w:color="4F758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758B" w:themeColor="accent5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4F758B" w:themeColor="accent5"/>
          <w:bottom w:val="single" w:sz="8" w:space="0" w:color="4F75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758B" w:themeColor="accent5"/>
          <w:bottom w:val="single" w:sz="8" w:space="0" w:color="4F758B" w:themeColor="accent5"/>
        </w:tcBorders>
      </w:tcPr>
    </w:tblStylePr>
    <w:tblStylePr w:type="band1Vert">
      <w:tblPr/>
      <w:tcPr>
        <w:shd w:val="clear" w:color="auto" w:fill="D0DDE4" w:themeFill="accent5" w:themeFillTint="3F"/>
      </w:tcPr>
    </w:tblStylePr>
    <w:tblStylePr w:type="band1Horz">
      <w:tblPr/>
      <w:tcPr>
        <w:shd w:val="clear" w:color="auto" w:fill="D0DDE4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1C5E8" w:themeColor="accent6"/>
        <w:bottom w:val="single" w:sz="8" w:space="0" w:color="71C5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C5E8" w:themeColor="accent6"/>
        </w:tcBorders>
      </w:tcPr>
    </w:tblStylePr>
    <w:tblStylePr w:type="lastRow">
      <w:rPr>
        <w:b/>
        <w:bCs/>
        <w:color w:val="012169" w:themeColor="text2"/>
      </w:rPr>
      <w:tblPr/>
      <w:tcPr>
        <w:tcBorders>
          <w:top w:val="single" w:sz="8" w:space="0" w:color="71C5E8" w:themeColor="accent6"/>
          <w:bottom w:val="single" w:sz="8" w:space="0" w:color="71C5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C5E8" w:themeColor="accent6"/>
          <w:bottom w:val="single" w:sz="8" w:space="0" w:color="71C5E8" w:themeColor="accent6"/>
        </w:tcBorders>
      </w:tcPr>
    </w:tblStylePr>
    <w:tblStylePr w:type="band1Vert">
      <w:tblPr/>
      <w:tcPr>
        <w:shd w:val="clear" w:color="auto" w:fill="DBF0F9" w:themeFill="accent6" w:themeFillTint="3F"/>
      </w:tcPr>
    </w:tblStylePr>
    <w:tblStylePr w:type="band1Horz">
      <w:tblPr/>
      <w:tcPr>
        <w:shd w:val="clear" w:color="auto" w:fill="DBF0F9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216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1216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216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216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B9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9E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72CE" w:themeColor="accent3"/>
        <w:left w:val="single" w:sz="8" w:space="0" w:color="0072CE" w:themeColor="accent3"/>
        <w:bottom w:val="single" w:sz="8" w:space="0" w:color="0072CE" w:themeColor="accent3"/>
        <w:right w:val="single" w:sz="8" w:space="0" w:color="0072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C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8A4AE" w:themeColor="accent4"/>
        <w:left w:val="single" w:sz="8" w:space="0" w:color="98A4AE" w:themeColor="accent4"/>
        <w:bottom w:val="single" w:sz="8" w:space="0" w:color="98A4AE" w:themeColor="accent4"/>
        <w:right w:val="single" w:sz="8" w:space="0" w:color="98A4A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A4A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A4A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A4A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A4A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8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8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758B" w:themeColor="accent5"/>
        <w:left w:val="single" w:sz="8" w:space="0" w:color="4F758B" w:themeColor="accent5"/>
        <w:bottom w:val="single" w:sz="8" w:space="0" w:color="4F758B" w:themeColor="accent5"/>
        <w:right w:val="single" w:sz="8" w:space="0" w:color="4F758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75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758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758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758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D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D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1C5E8" w:themeColor="accent6"/>
        <w:left w:val="single" w:sz="8" w:space="0" w:color="71C5E8" w:themeColor="accent6"/>
        <w:bottom w:val="single" w:sz="8" w:space="0" w:color="71C5E8" w:themeColor="accent6"/>
        <w:right w:val="single" w:sz="8" w:space="0" w:color="71C5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C5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1C5E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C5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C5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0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0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240CD" w:themeColor="accent1" w:themeTint="BF"/>
        <w:left w:val="single" w:sz="8" w:space="0" w:color="0240CD" w:themeColor="accent1" w:themeTint="BF"/>
        <w:bottom w:val="single" w:sz="8" w:space="0" w:color="0240CD" w:themeColor="accent1" w:themeTint="BF"/>
        <w:right w:val="single" w:sz="8" w:space="0" w:color="0240CD" w:themeColor="accent1" w:themeTint="BF"/>
        <w:insideH w:val="single" w:sz="8" w:space="0" w:color="024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40CD" w:themeColor="accent1" w:themeTint="BF"/>
          <w:left w:val="single" w:sz="8" w:space="0" w:color="0240CD" w:themeColor="accent1" w:themeTint="BF"/>
          <w:bottom w:val="single" w:sz="8" w:space="0" w:color="0240CD" w:themeColor="accent1" w:themeTint="BF"/>
          <w:right w:val="single" w:sz="8" w:space="0" w:color="0240CD" w:themeColor="accent1" w:themeTint="BF"/>
          <w:insideH w:val="nil"/>
          <w:insideV w:val="nil"/>
        </w:tcBorders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40CD" w:themeColor="accent1" w:themeTint="BF"/>
          <w:left w:val="single" w:sz="8" w:space="0" w:color="0240CD" w:themeColor="accent1" w:themeTint="BF"/>
          <w:bottom w:val="single" w:sz="8" w:space="0" w:color="0240CD" w:themeColor="accent1" w:themeTint="BF"/>
          <w:right w:val="single" w:sz="8" w:space="0" w:color="024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B9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B9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28CAFF" w:themeColor="accent2" w:themeTint="BF"/>
        <w:left w:val="single" w:sz="8" w:space="0" w:color="28CAFF" w:themeColor="accent2" w:themeTint="BF"/>
        <w:bottom w:val="single" w:sz="8" w:space="0" w:color="28CAFF" w:themeColor="accent2" w:themeTint="BF"/>
        <w:right w:val="single" w:sz="8" w:space="0" w:color="28CAFF" w:themeColor="accent2" w:themeTint="BF"/>
        <w:insideH w:val="single" w:sz="8" w:space="0" w:color="28C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AFF" w:themeColor="accent2" w:themeTint="BF"/>
          <w:left w:val="single" w:sz="8" w:space="0" w:color="28CAFF" w:themeColor="accent2" w:themeTint="BF"/>
          <w:bottom w:val="single" w:sz="8" w:space="0" w:color="28CAFF" w:themeColor="accent2" w:themeTint="BF"/>
          <w:right w:val="single" w:sz="8" w:space="0" w:color="28CAFF" w:themeColor="accent2" w:themeTint="BF"/>
          <w:insideH w:val="nil"/>
          <w:insideV w:val="nil"/>
        </w:tcBorders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AFF" w:themeColor="accent2" w:themeTint="BF"/>
          <w:left w:val="single" w:sz="8" w:space="0" w:color="28CAFF" w:themeColor="accent2" w:themeTint="BF"/>
          <w:bottom w:val="single" w:sz="8" w:space="0" w:color="28CAFF" w:themeColor="accent2" w:themeTint="BF"/>
          <w:right w:val="single" w:sz="8" w:space="0" w:color="28C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B99FF" w:themeColor="accent3" w:themeTint="BF"/>
        <w:left w:val="single" w:sz="8" w:space="0" w:color="1B99FF" w:themeColor="accent3" w:themeTint="BF"/>
        <w:bottom w:val="single" w:sz="8" w:space="0" w:color="1B99FF" w:themeColor="accent3" w:themeTint="BF"/>
        <w:right w:val="single" w:sz="8" w:space="0" w:color="1B99FF" w:themeColor="accent3" w:themeTint="BF"/>
        <w:insideH w:val="single" w:sz="8" w:space="0" w:color="1B99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99FF" w:themeColor="accent3" w:themeTint="BF"/>
          <w:left w:val="single" w:sz="8" w:space="0" w:color="1B99FF" w:themeColor="accent3" w:themeTint="BF"/>
          <w:bottom w:val="single" w:sz="8" w:space="0" w:color="1B99FF" w:themeColor="accent3" w:themeTint="BF"/>
          <w:right w:val="single" w:sz="8" w:space="0" w:color="1B99FF" w:themeColor="accent3" w:themeTint="BF"/>
          <w:insideH w:val="nil"/>
          <w:insideV w:val="nil"/>
        </w:tcBorders>
        <w:shd w:val="clear" w:color="auto" w:fill="0072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9FF" w:themeColor="accent3" w:themeTint="BF"/>
          <w:left w:val="single" w:sz="8" w:space="0" w:color="1B99FF" w:themeColor="accent3" w:themeTint="BF"/>
          <w:bottom w:val="single" w:sz="8" w:space="0" w:color="1B99FF" w:themeColor="accent3" w:themeTint="BF"/>
          <w:right w:val="single" w:sz="8" w:space="0" w:color="1B99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B1BAC2" w:themeColor="accent4" w:themeTint="BF"/>
        <w:left w:val="single" w:sz="8" w:space="0" w:color="B1BAC2" w:themeColor="accent4" w:themeTint="BF"/>
        <w:bottom w:val="single" w:sz="8" w:space="0" w:color="B1BAC2" w:themeColor="accent4" w:themeTint="BF"/>
        <w:right w:val="single" w:sz="8" w:space="0" w:color="B1BAC2" w:themeColor="accent4" w:themeTint="BF"/>
        <w:insideH w:val="single" w:sz="8" w:space="0" w:color="B1BA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BAC2" w:themeColor="accent4" w:themeTint="BF"/>
          <w:left w:val="single" w:sz="8" w:space="0" w:color="B1BAC2" w:themeColor="accent4" w:themeTint="BF"/>
          <w:bottom w:val="single" w:sz="8" w:space="0" w:color="B1BAC2" w:themeColor="accent4" w:themeTint="BF"/>
          <w:right w:val="single" w:sz="8" w:space="0" w:color="B1BAC2" w:themeColor="accent4" w:themeTint="BF"/>
          <w:insideH w:val="nil"/>
          <w:insideV w:val="nil"/>
        </w:tcBorders>
        <w:shd w:val="clear" w:color="auto" w:fill="98A4A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AC2" w:themeColor="accent4" w:themeTint="BF"/>
          <w:left w:val="single" w:sz="8" w:space="0" w:color="B1BAC2" w:themeColor="accent4" w:themeTint="BF"/>
          <w:bottom w:val="single" w:sz="8" w:space="0" w:color="B1BAC2" w:themeColor="accent4" w:themeTint="BF"/>
          <w:right w:val="single" w:sz="8" w:space="0" w:color="B1BA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8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399AF" w:themeColor="accent5" w:themeTint="BF"/>
        <w:left w:val="single" w:sz="8" w:space="0" w:color="7399AF" w:themeColor="accent5" w:themeTint="BF"/>
        <w:bottom w:val="single" w:sz="8" w:space="0" w:color="7399AF" w:themeColor="accent5" w:themeTint="BF"/>
        <w:right w:val="single" w:sz="8" w:space="0" w:color="7399AF" w:themeColor="accent5" w:themeTint="BF"/>
        <w:insideH w:val="single" w:sz="8" w:space="0" w:color="7399A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99AF" w:themeColor="accent5" w:themeTint="BF"/>
          <w:left w:val="single" w:sz="8" w:space="0" w:color="7399AF" w:themeColor="accent5" w:themeTint="BF"/>
          <w:bottom w:val="single" w:sz="8" w:space="0" w:color="7399AF" w:themeColor="accent5" w:themeTint="BF"/>
          <w:right w:val="single" w:sz="8" w:space="0" w:color="7399AF" w:themeColor="accent5" w:themeTint="BF"/>
          <w:insideH w:val="nil"/>
          <w:insideV w:val="nil"/>
        </w:tcBorders>
        <w:shd w:val="clear" w:color="auto" w:fill="4F75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99AF" w:themeColor="accent5" w:themeTint="BF"/>
          <w:left w:val="single" w:sz="8" w:space="0" w:color="7399AF" w:themeColor="accent5" w:themeTint="BF"/>
          <w:bottom w:val="single" w:sz="8" w:space="0" w:color="7399AF" w:themeColor="accent5" w:themeTint="BF"/>
          <w:right w:val="single" w:sz="8" w:space="0" w:color="7399A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D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94D3ED" w:themeColor="accent6" w:themeTint="BF"/>
        <w:left w:val="single" w:sz="8" w:space="0" w:color="94D3ED" w:themeColor="accent6" w:themeTint="BF"/>
        <w:bottom w:val="single" w:sz="8" w:space="0" w:color="94D3ED" w:themeColor="accent6" w:themeTint="BF"/>
        <w:right w:val="single" w:sz="8" w:space="0" w:color="94D3ED" w:themeColor="accent6" w:themeTint="BF"/>
        <w:insideH w:val="single" w:sz="8" w:space="0" w:color="94D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D3ED" w:themeColor="accent6" w:themeTint="BF"/>
          <w:left w:val="single" w:sz="8" w:space="0" w:color="94D3ED" w:themeColor="accent6" w:themeTint="BF"/>
          <w:bottom w:val="single" w:sz="8" w:space="0" w:color="94D3ED" w:themeColor="accent6" w:themeTint="BF"/>
          <w:right w:val="single" w:sz="8" w:space="0" w:color="94D3ED" w:themeColor="accent6" w:themeTint="BF"/>
          <w:insideH w:val="nil"/>
          <w:insideV w:val="nil"/>
        </w:tcBorders>
        <w:shd w:val="clear" w:color="auto" w:fill="71C5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D3ED" w:themeColor="accent6" w:themeTint="BF"/>
          <w:left w:val="single" w:sz="8" w:space="0" w:color="94D3ED" w:themeColor="accent6" w:themeTint="BF"/>
          <w:bottom w:val="single" w:sz="8" w:space="0" w:color="94D3ED" w:themeColor="accent6" w:themeTint="BF"/>
          <w:right w:val="single" w:sz="8" w:space="0" w:color="94D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0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216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216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A4A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A4A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A4A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58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5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758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C5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C5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C5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qFormat/>
    <w:rsid w:val="00F80750"/>
    <w:pPr>
      <w:spacing w:after="0"/>
    </w:pPr>
  </w:style>
  <w:style w:type="paragraph" w:styleId="NormalWeb">
    <w:name w:val="Normal (Web)"/>
    <w:basedOn w:val="Normal"/>
    <w:uiPriority w:val="99"/>
    <w:rsid w:val="00606FC8"/>
    <w:pPr>
      <w:numPr>
        <w:numId w:val="0"/>
      </w:numPr>
    </w:pPr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19"/>
    <w:qFormat/>
    <w:rsid w:val="005D04CC"/>
    <w:pPr>
      <w:numPr>
        <w:numId w:val="0"/>
      </w:numPr>
      <w:ind w:left="425" w:right="425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19"/>
    <w:rsid w:val="005D04CC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</w:style>
  <w:style w:type="paragraph" w:styleId="Signature">
    <w:name w:val="Signature"/>
    <w:basedOn w:val="Normal"/>
    <w:link w:val="SignatureChar"/>
    <w:uiPriority w:val="29"/>
    <w:semiHidden/>
    <w:locked/>
    <w:rsid w:val="00F00470"/>
    <w:pPr>
      <w:numPr>
        <w:numId w:val="0"/>
      </w:numPr>
      <w:contextualSpacing/>
      <w:jc w:val="left"/>
    </w:pPr>
  </w:style>
  <w:style w:type="character" w:customStyle="1" w:styleId="SignatureChar">
    <w:name w:val="Signature Char"/>
    <w:basedOn w:val="DefaultParagraphFont"/>
    <w:link w:val="Signature"/>
    <w:uiPriority w:val="29"/>
    <w:semiHidden/>
    <w:rsid w:val="00EE50C6"/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01216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01216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00A9E0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0453D9"/>
    <w:pPr>
      <w:numPr>
        <w:numId w:val="0"/>
      </w:numPr>
      <w:tabs>
        <w:tab w:val="left" w:pos="851"/>
        <w:tab w:val="right" w:pos="9027"/>
      </w:tabs>
      <w:ind w:left="851" w:hanging="851"/>
      <w:jc w:val="left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21C9B"/>
    <w:pPr>
      <w:numPr>
        <w:numId w:val="0"/>
      </w:numPr>
      <w:tabs>
        <w:tab w:val="left" w:pos="851"/>
        <w:tab w:val="right" w:pos="9038"/>
      </w:tabs>
      <w:ind w:left="851" w:hanging="851"/>
      <w:jc w:val="left"/>
    </w:pPr>
    <w:rPr>
      <w:b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0453D9"/>
    <w:pPr>
      <w:numPr>
        <w:numId w:val="0"/>
      </w:numPr>
      <w:tabs>
        <w:tab w:val="left" w:pos="851"/>
        <w:tab w:val="right" w:pos="9027"/>
      </w:tabs>
    </w:pPr>
    <w:rPr>
      <w:i/>
      <w:sz w:val="28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0453D9"/>
    <w:pPr>
      <w:numPr>
        <w:numId w:val="0"/>
      </w:numPr>
      <w:tabs>
        <w:tab w:val="left" w:pos="851"/>
        <w:tab w:val="right" w:pos="9027"/>
      </w:tabs>
    </w:pPr>
    <w:rPr>
      <w:b/>
      <w:sz w:val="24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E21C9B"/>
    <w:pPr>
      <w:numPr>
        <w:numId w:val="0"/>
      </w:numPr>
      <w:tabs>
        <w:tab w:val="left" w:pos="851"/>
        <w:tab w:val="right" w:pos="9027"/>
      </w:tabs>
    </w:pPr>
    <w:rPr>
      <w:b/>
    </w:r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styleId="1ai">
    <w:name w:val="Outline List 1"/>
    <w:basedOn w:val="NoList"/>
    <w:uiPriority w:val="99"/>
    <w:semiHidden/>
    <w:unhideWhenUsed/>
    <w:rsid w:val="00A8129D"/>
    <w:pPr>
      <w:numPr>
        <w:numId w:val="5"/>
      </w:numPr>
    </w:pPr>
  </w:style>
  <w:style w:type="numbering" w:customStyle="1" w:styleId="BulletList">
    <w:name w:val="Bullet List"/>
    <w:uiPriority w:val="99"/>
    <w:rsid w:val="00641EAA"/>
    <w:pPr>
      <w:numPr>
        <w:numId w:val="8"/>
      </w:numPr>
    </w:pPr>
  </w:style>
  <w:style w:type="paragraph" w:customStyle="1" w:styleId="Introduction">
    <w:name w:val="Introduction"/>
    <w:basedOn w:val="Normal"/>
    <w:uiPriority w:val="11"/>
    <w:semiHidden/>
    <w:qFormat/>
    <w:rsid w:val="00072B30"/>
    <w:pPr>
      <w:numPr>
        <w:numId w:val="0"/>
      </w:numPr>
    </w:pPr>
    <w:rPr>
      <w:b/>
      <w:color w:val="000000" w:themeColor="text1"/>
    </w:rPr>
  </w:style>
  <w:style w:type="table" w:styleId="TableGridLight">
    <w:name w:val="Grid Table Light"/>
    <w:aliases w:val="Hidden"/>
    <w:basedOn w:val="TableNormal"/>
    <w:uiPriority w:val="40"/>
    <w:locked/>
    <w:rsid w:val="00592F64"/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495A4C"/>
    <w:pPr>
      <w:numPr>
        <w:numId w:val="3"/>
      </w:numPr>
    </w:pPr>
  </w:style>
  <w:style w:type="paragraph" w:customStyle="1" w:styleId="AppendixHeading">
    <w:name w:val="Appendix Heading"/>
    <w:basedOn w:val="Heading1"/>
    <w:uiPriority w:val="10"/>
    <w:semiHidden/>
    <w:qFormat/>
    <w:rsid w:val="003A2733"/>
    <w:pPr>
      <w:numPr>
        <w:numId w:val="3"/>
      </w:numPr>
    </w:pPr>
  </w:style>
  <w:style w:type="paragraph" w:customStyle="1" w:styleId="AppendixSubHeading">
    <w:name w:val="Appendix Sub Heading"/>
    <w:basedOn w:val="Heading2"/>
    <w:uiPriority w:val="10"/>
    <w:semiHidden/>
    <w:qFormat/>
    <w:rsid w:val="003A2733"/>
  </w:style>
  <w:style w:type="paragraph" w:customStyle="1" w:styleId="Heading1Numbers">
    <w:name w:val="Heading 1 Numbers"/>
    <w:basedOn w:val="Heading1"/>
    <w:next w:val="Normal"/>
    <w:uiPriority w:val="9"/>
    <w:qFormat/>
    <w:rsid w:val="00BA627A"/>
    <w:pPr>
      <w:numPr>
        <w:numId w:val="10"/>
      </w:numPr>
    </w:pPr>
  </w:style>
  <w:style w:type="paragraph" w:customStyle="1" w:styleId="Heading2Numbers">
    <w:name w:val="Heading 2 Numbers"/>
    <w:basedOn w:val="Heading2"/>
    <w:next w:val="Normal"/>
    <w:uiPriority w:val="9"/>
    <w:qFormat/>
    <w:rsid w:val="00E61784"/>
    <w:pPr>
      <w:numPr>
        <w:ilvl w:val="1"/>
        <w:numId w:val="10"/>
      </w:numPr>
    </w:pPr>
    <w:rPr>
      <w:bCs w:val="0"/>
    </w:rPr>
  </w:style>
  <w:style w:type="paragraph" w:customStyle="1" w:styleId="Heading3Numbers">
    <w:name w:val="Heading 3 Numbers"/>
    <w:basedOn w:val="Heading3"/>
    <w:next w:val="Normal"/>
    <w:uiPriority w:val="9"/>
    <w:qFormat/>
    <w:rsid w:val="00BA627A"/>
    <w:pPr>
      <w:numPr>
        <w:ilvl w:val="2"/>
        <w:numId w:val="10"/>
      </w:numPr>
    </w:pPr>
  </w:style>
  <w:style w:type="paragraph" w:customStyle="1" w:styleId="Heading4NoNumber">
    <w:name w:val="Heading 4 No Number"/>
    <w:basedOn w:val="Heading4"/>
    <w:uiPriority w:val="9"/>
    <w:qFormat/>
    <w:rsid w:val="00BA627A"/>
    <w:pPr>
      <w:numPr>
        <w:ilvl w:val="3"/>
        <w:numId w:val="10"/>
      </w:numPr>
    </w:pPr>
  </w:style>
  <w:style w:type="paragraph" w:customStyle="1" w:styleId="JanusSeal">
    <w:name w:val="Janus Seal"/>
    <w:basedOn w:val="Normal"/>
    <w:uiPriority w:val="18"/>
    <w:qFormat/>
    <w:rsid w:val="00877B84"/>
    <w:pPr>
      <w:jc w:val="center"/>
    </w:pPr>
    <w:rPr>
      <w:b/>
      <w:color w:val="FF0000"/>
      <w:sz w:val="24"/>
    </w:rPr>
  </w:style>
  <w:style w:type="paragraph" w:customStyle="1" w:styleId="LetterCAPSTitle">
    <w:name w:val="Letter CAPS Title"/>
    <w:basedOn w:val="Normal"/>
    <w:uiPriority w:val="19"/>
    <w:qFormat/>
    <w:rsid w:val="00722F9F"/>
    <w:pPr>
      <w:numPr>
        <w:numId w:val="0"/>
      </w:numPr>
    </w:pPr>
    <w:rPr>
      <w:b/>
      <w:caps/>
      <w:shd w:val="clear" w:color="auto" w:fill="FFFFFF"/>
    </w:rPr>
  </w:style>
  <w:style w:type="table" w:styleId="PlainTable5">
    <w:name w:val="Plain Table 5"/>
    <w:basedOn w:val="TableNormal"/>
    <w:uiPriority w:val="45"/>
    <w:locked/>
    <w:rsid w:val="00F0509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overdate">
    <w:name w:val="Cover date"/>
    <w:basedOn w:val="Address"/>
    <w:uiPriority w:val="29"/>
    <w:semiHidden/>
    <w:qFormat/>
    <w:rsid w:val="00592F64"/>
  </w:style>
  <w:style w:type="paragraph" w:customStyle="1" w:styleId="Address">
    <w:name w:val="Address"/>
    <w:basedOn w:val="Normal"/>
    <w:uiPriority w:val="19"/>
    <w:qFormat/>
    <w:rsid w:val="00592F64"/>
    <w:pPr>
      <w:numPr>
        <w:numId w:val="0"/>
      </w:numPr>
      <w:spacing w:after="840"/>
      <w:contextualSpacing/>
    </w:pPr>
  </w:style>
  <w:style w:type="paragraph" w:customStyle="1" w:styleId="Sincerely">
    <w:name w:val="Sincerely"/>
    <w:basedOn w:val="Normal"/>
    <w:uiPriority w:val="29"/>
    <w:semiHidden/>
    <w:qFormat/>
    <w:rsid w:val="00592F64"/>
    <w:pPr>
      <w:numPr>
        <w:numId w:val="0"/>
      </w:numPr>
      <w:spacing w:before="720" w:after="600"/>
    </w:pPr>
  </w:style>
  <w:style w:type="paragraph" w:customStyle="1" w:styleId="Subject">
    <w:name w:val="Subject"/>
    <w:basedOn w:val="Normal"/>
    <w:uiPriority w:val="29"/>
    <w:semiHidden/>
    <w:qFormat/>
    <w:rsid w:val="00592F64"/>
    <w:pPr>
      <w:numPr>
        <w:numId w:val="0"/>
      </w:numPr>
      <w:spacing w:before="480" w:after="480"/>
    </w:pPr>
    <w:rPr>
      <w:b/>
    </w:rPr>
  </w:style>
  <w:style w:type="table" w:customStyle="1" w:styleId="TableOption2">
    <w:name w:val="Table Option 2"/>
    <w:basedOn w:val="TableGrid"/>
    <w:uiPriority w:val="99"/>
    <w:rsid w:val="00826012"/>
    <w:tblPr/>
    <w:tcPr>
      <w:shd w:val="clear" w:color="auto" w:fill="EAECEE" w:themeFill="accent4" w:themeFillTint="33"/>
    </w:tcPr>
    <w:tblStylePr w:type="firstRow">
      <w:rPr>
        <w:b w:val="0"/>
        <w:color w:val="FFFFFF" w:themeColor="background1"/>
      </w:rPr>
      <w:tblPr/>
      <w:trPr>
        <w:cantSplit/>
        <w:tblHeader/>
      </w:trPr>
      <w:tcPr>
        <w:shd w:val="clear" w:color="auto" w:fill="012169" w:themeFill="accent1"/>
      </w:tcPr>
    </w:tblStylePr>
    <w:tblStylePr w:type="lastRow">
      <w:rPr>
        <w:b/>
      </w:rPr>
      <w:tblPr/>
      <w:tcPr>
        <w:shd w:val="clear" w:color="auto" w:fill="EAECEE" w:themeFill="accent4" w:themeFillTint="33"/>
      </w:tcPr>
    </w:tblStylePr>
    <w:tblStylePr w:type="firstCol">
      <w:rPr>
        <w:b w:val="0"/>
        <w:color w:val="auto"/>
      </w:rPr>
      <w:tblPr/>
      <w:tcPr>
        <w:shd w:val="clear" w:color="auto" w:fill="012169" w:themeFill="accent1"/>
      </w:tcPr>
    </w:tblStylePr>
    <w:tblStylePr w:type="lastCol">
      <w:pPr>
        <w:jc w:val="right"/>
      </w:pPr>
      <w:rPr>
        <w:b/>
      </w:rPr>
    </w:tblStylePr>
    <w:tblStylePr w:type="band1Horz">
      <w:tblPr/>
      <w:tcPr>
        <w:shd w:val="clear" w:color="auto" w:fill="EAECEE" w:themeFill="accent4" w:themeFillTint="33"/>
      </w:tcPr>
    </w:tblStylePr>
    <w:tblStylePr w:type="band2Horz">
      <w:tblPr/>
      <w:tcPr>
        <w:shd w:val="clear" w:color="auto" w:fill="C1C8CE" w:themeFill="accent4" w:themeFillTint="99"/>
      </w:tcPr>
    </w:tblStylePr>
  </w:style>
  <w:style w:type="paragraph" w:customStyle="1" w:styleId="TableHeading">
    <w:name w:val="Table Heading"/>
    <w:basedOn w:val="Normal"/>
    <w:next w:val="Normal"/>
    <w:uiPriority w:val="10"/>
    <w:qFormat/>
    <w:rsid w:val="004C766B"/>
    <w:pPr>
      <w:keepNext/>
      <w:numPr>
        <w:numId w:val="0"/>
      </w:numPr>
      <w:spacing w:before="240" w:after="120"/>
    </w:pPr>
    <w:rPr>
      <w:b/>
      <w:i/>
    </w:rPr>
  </w:style>
  <w:style w:type="paragraph" w:customStyle="1" w:styleId="NameTitleDivision">
    <w:name w:val="Name/Title/Division"/>
    <w:basedOn w:val="Normal"/>
    <w:uiPriority w:val="18"/>
    <w:qFormat/>
    <w:rsid w:val="000573E5"/>
    <w:pPr>
      <w:numPr>
        <w:numId w:val="0"/>
      </w:numPr>
      <w:contextualSpacing/>
    </w:pPr>
    <w:rPr>
      <w:i/>
    </w:rPr>
  </w:style>
  <w:style w:type="paragraph" w:customStyle="1" w:styleId="TableText">
    <w:name w:val="Table Text"/>
    <w:basedOn w:val="Normal"/>
    <w:uiPriority w:val="10"/>
    <w:qFormat/>
    <w:rsid w:val="009E529F"/>
    <w:pPr>
      <w:numPr>
        <w:numId w:val="0"/>
      </w:numPr>
      <w:spacing w:before="60" w:after="60"/>
      <w:jc w:val="left"/>
    </w:pPr>
  </w:style>
  <w:style w:type="paragraph" w:customStyle="1" w:styleId="Postscript">
    <w:name w:val="Postscript"/>
    <w:basedOn w:val="Normal"/>
    <w:uiPriority w:val="19"/>
    <w:qFormat/>
    <w:rsid w:val="00B40B7D"/>
    <w:pPr>
      <w:numPr>
        <w:numId w:val="0"/>
      </w:numPr>
    </w:pPr>
    <w:rPr>
      <w:sz w:val="20"/>
    </w:rPr>
  </w:style>
  <w:style w:type="table" w:styleId="GridTable4-Accent5">
    <w:name w:val="Grid Table 4 Accent 5"/>
    <w:basedOn w:val="TableNormal"/>
    <w:uiPriority w:val="49"/>
    <w:locked/>
    <w:rsid w:val="00676BC6"/>
    <w:pPr>
      <w:spacing w:after="0"/>
      <w:jc w:val="left"/>
    </w:pPr>
    <w:rPr>
      <w:rFonts w:asciiTheme="minorHAnsi" w:eastAsia="Times New Roman" w:hAnsiTheme="minorHAnsi" w:cs="Cordia New"/>
      <w:color w:val="auto"/>
    </w:rPr>
    <w:tblPr>
      <w:tblStyleRowBandSize w:val="1"/>
      <w:tblStyleColBandSize w:val="1"/>
      <w:tblBorders>
        <w:top w:val="single" w:sz="4" w:space="0" w:color="8FADBF" w:themeColor="accent5" w:themeTint="99"/>
        <w:left w:val="single" w:sz="4" w:space="0" w:color="8FADBF" w:themeColor="accent5" w:themeTint="99"/>
        <w:bottom w:val="single" w:sz="4" w:space="0" w:color="8FADBF" w:themeColor="accent5" w:themeTint="99"/>
        <w:right w:val="single" w:sz="4" w:space="0" w:color="8FADBF" w:themeColor="accent5" w:themeTint="99"/>
        <w:insideH w:val="single" w:sz="4" w:space="0" w:color="8FADBF" w:themeColor="accent5" w:themeTint="99"/>
        <w:insideV w:val="single" w:sz="4" w:space="0" w:color="8FADBF" w:themeColor="accent5" w:themeTint="99"/>
      </w:tblBorders>
    </w:tblPr>
    <w:tblStylePr w:type="firstRow">
      <w:rPr>
        <w:rFonts w:cs="Cordia New"/>
        <w:b/>
        <w:bCs/>
        <w:color w:val="FFFFFF" w:themeColor="background1"/>
      </w:rPr>
      <w:tblPr/>
      <w:tcPr>
        <w:tcBorders>
          <w:top w:val="single" w:sz="4" w:space="0" w:color="4F758B" w:themeColor="accent5"/>
          <w:left w:val="single" w:sz="4" w:space="0" w:color="4F758B" w:themeColor="accent5"/>
          <w:bottom w:val="single" w:sz="4" w:space="0" w:color="4F758B" w:themeColor="accent5"/>
          <w:right w:val="single" w:sz="4" w:space="0" w:color="4F758B" w:themeColor="accent5"/>
          <w:insideH w:val="nil"/>
          <w:insideV w:val="nil"/>
        </w:tcBorders>
        <w:shd w:val="clear" w:color="auto" w:fill="4F758B" w:themeFill="accent5"/>
      </w:tcPr>
    </w:tblStylePr>
    <w:tblStylePr w:type="lastRow">
      <w:rPr>
        <w:rFonts w:cs="Cordia New"/>
        <w:b/>
        <w:bCs/>
      </w:rPr>
      <w:tblPr/>
      <w:tcPr>
        <w:tcBorders>
          <w:top w:val="double" w:sz="4" w:space="0" w:color="4F758B" w:themeColor="accent5"/>
        </w:tcBorders>
      </w:tcPr>
    </w:tblStylePr>
    <w:tblStylePr w:type="firstCol">
      <w:rPr>
        <w:rFonts w:cs="Cordia New"/>
        <w:b/>
        <w:bCs/>
      </w:rPr>
    </w:tblStylePr>
    <w:tblStylePr w:type="lastCol">
      <w:rPr>
        <w:rFonts w:cs="Cordia New"/>
        <w:b/>
        <w:bCs/>
      </w:rPr>
    </w:tblStylePr>
    <w:tblStylePr w:type="band1Vert">
      <w:rPr>
        <w:rFonts w:cs="Cordia New"/>
      </w:rPr>
      <w:tblPr/>
      <w:tcPr>
        <w:shd w:val="clear" w:color="auto" w:fill="D9E3E9" w:themeFill="accent5" w:themeFillTint="33"/>
      </w:tcPr>
    </w:tblStylePr>
    <w:tblStylePr w:type="band1Horz">
      <w:rPr>
        <w:rFonts w:cs="Cordia New"/>
      </w:rPr>
      <w:tblPr/>
      <w:tcPr>
        <w:shd w:val="clear" w:color="auto" w:fill="D9E3E9" w:themeFill="accent5" w:themeFillTint="33"/>
      </w:tcPr>
    </w:tblStylePr>
  </w:style>
  <w:style w:type="paragraph" w:customStyle="1" w:styleId="BULLET2">
    <w:name w:val="BULLET 2"/>
    <w:basedOn w:val="Normal"/>
    <w:qFormat/>
    <w:rsid w:val="002E7C24"/>
    <w:pPr>
      <w:numPr>
        <w:numId w:val="12"/>
      </w:numPr>
    </w:pPr>
    <w:rPr>
      <w:rFonts w:eastAsiaTheme="minorEastAsia"/>
      <w:color w:val="auto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12.png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APRA">
      <a:dk1>
        <a:sysClr val="windowText" lastClr="000000"/>
      </a:dk1>
      <a:lt1>
        <a:sysClr val="window" lastClr="FFFFFF"/>
      </a:lt1>
      <a:dk2>
        <a:srgbClr val="012169"/>
      </a:dk2>
      <a:lt2>
        <a:srgbClr val="00A9E0"/>
      </a:lt2>
      <a:accent1>
        <a:srgbClr val="012169"/>
      </a:accent1>
      <a:accent2>
        <a:srgbClr val="00A9E0"/>
      </a:accent2>
      <a:accent3>
        <a:srgbClr val="0072CE"/>
      </a:accent3>
      <a:accent4>
        <a:srgbClr val="98A4AE"/>
      </a:accent4>
      <a:accent5>
        <a:srgbClr val="4F758B"/>
      </a:accent5>
      <a:accent6>
        <a:srgbClr val="71C5E8"/>
      </a:accent6>
      <a:hlink>
        <a:srgbClr val="0000FF"/>
      </a:hlink>
      <a:folHlink>
        <a:srgbClr val="7030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36a5a650d54f768f171f4d17b8b238 xmlns="814d62cb-2db6-4c25-ab62-b9075facbc11">
      <Terms xmlns="http://schemas.microsoft.com/office/infopath/2007/PartnerControls"/>
    </aa36a5a650d54f768f171f4d17b8b238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l003ee8eff60461aa1bd0027aba92ea4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SUPER</TermName>
          <TermId xmlns="http://schemas.microsoft.com/office/infopath/2007/PartnerControls">622d8f75-8851-e311-9e2e-005056b54f10</TermId>
        </TermInfo>
      </Terms>
    </l003ee8eff60461aa1bd0027aba92ea4>
    <_dlc_DocId xmlns="814d62cb-2db6-4c25-ab62-b9075facbc11">VQVUQ2WUPSKA-1683173573-68316</_dlc_DocId>
    <TaxCatchAll xmlns="814d62cb-2db6-4c25-ab62-b9075facbc11">
      <Value>48</Value>
      <Value>47</Value>
      <Value>46</Value>
      <Value>11</Value>
      <Value>1</Value>
    </TaxCatchAll>
    <ka2715b9eb154114a4f57d7fbf82ec75 xmlns="814d62cb-2db6-4c25-ab62-b9075facbc11">
      <Terms xmlns="http://schemas.microsoft.com/office/infopath/2007/PartnerControls"/>
    </ka2715b9eb154114a4f57d7fbf82ec75>
    <i08e72d8ce2b4ffa9361f9f4e0a63abc xmlns="814d62cb-2db6-4c25-ab62-b9075facbc11">
      <Terms xmlns="http://schemas.microsoft.com/office/infopath/2007/PartnerControls"/>
    </i08e72d8ce2b4ffa9361f9f4e0a63abc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</TermName>
          <TermId xmlns="http://schemas.microsoft.com/office/infopath/2007/PartnerControls">9c208ec1-acb8-4005-ba1a-e7d4ed62ea16</TermId>
        </TermInfo>
        <TermInfo xmlns="http://schemas.microsoft.com/office/infopath/2007/PartnerControls">
          <TermName xmlns="http://schemas.microsoft.com/office/infopath/2007/PartnerControls">Development</TermName>
          <TermId xmlns="http://schemas.microsoft.com/office/infopath/2007/PartnerControls">7276960b-cd04-4fd9-bbf6-f5b03d867772</TermId>
        </TermInfo>
      </Terms>
    </i05115a133414b4dabee2531e4b46b67>
    <_dlc_DocIdUrl xmlns="814d62cb-2db6-4c25-ab62-b9075facbc11">
      <Url>https://im/teams/DA/_layouts/15/DocIdRedir.aspx?ID=VQVUQ2WUPSKA-1683173573-68316</Url>
      <Description>VQVUQ2WUPSKA-1683173573-68316</Description>
    </_dlc_DocIdUrl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Instructions</TermName>
          <TermId xmlns="http://schemas.microsoft.com/office/infopath/2007/PartnerControls">660a0f40-4e53-4a96-ac93-47018aee9683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pa005173035e41c3986b37b8e650f3ef xmlns="814d62cb-2db6-4c25-ab62-b9075facbc11">
      <Terms xmlns="http://schemas.microsoft.com/office/infopath/2007/PartnerControls"/>
    </pa005173035e41c3986b37b8e650f3ef>
    <APRADescription xmlns="814d62cb-2db6-4c25-ab62-b9075facbc11" xsi:nil="true"/>
    <APRAActivityID xmlns="814d62cb-2db6-4c25-ab62-b9075facbc11" xsi:nil="true"/>
    <p10c80fc2da942ae8f2ea9b33b6ea0ba xmlns="814d62cb-2db6-4c25-ab62-b9075facbc11">
      <Terms xmlns="http://schemas.microsoft.com/office/infopath/2007/PartnerControls"/>
    </p10c80fc2da942ae8f2ea9b33b6ea0ba>
    <APRADocScanCheck xmlns="814d62cb-2db6-4c25-ab62-b9075facbc11">false</APRADocScanCheck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BD2A692CFD66A941B2B82EF45B0E040E" ma:contentTypeVersion="22" ma:contentTypeDescription="Create a new document." ma:contentTypeScope="" ma:versionID="0d455c741b6015f1f8bfec7c4d7a5490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932e2b43991d8cf04da7b18cbb69eaa4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 ma:readOnly="false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daec4cee-bc29-40dd-9633-3369b11337a8}" ma:internalName="TaxCatchAll" ma:showField="CatchAllData" ma:web="ad6dddf9-383b-42a4-9cb2-33e024a97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daec4cee-bc29-40dd-9633-3369b11337a8}" ma:internalName="TaxCatchAllLabel" ma:readOnly="true" ma:showField="CatchAllDataLabel" ma:web="ad6dddf9-383b-42a4-9cb2-33e024a97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ACAB0-AB81-49C1-87E4-C39BD34E7D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54FEE4-EB9A-4C04-BF4E-E9AB05DEA53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BD1C38E-929C-4767-9898-371698011941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814d62cb-2db6-4c25-ab62-b9075facbc11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7A29667-2FEB-49AD-AE94-6D002181C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DBC8DD-165E-484A-B678-17EBB810B26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F7C114D-34D2-457C-BDA0-F3CE5BE9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951</Words>
  <Characters>5423</Characters>
  <Application>Microsoft Office Word</Application>
  <DocSecurity>0</DocSecurity>
  <Lines>208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Asset Allocation Worked Examples</vt:lpstr>
    </vt:vector>
  </TitlesOfParts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 Allocation Worked Examples</dc:title>
  <dc:subject/>
  <dc:description/>
  <cp:lastPrinted>2014-02-02T12:10:00Z</cp:lastPrinted>
  <dcterms:created xsi:type="dcterms:W3CDTF">2020-10-26T08:53:00Z</dcterms:created>
  <dcterms:modified xsi:type="dcterms:W3CDTF">2020-10-26T08:53:00Z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UNCLASSIFIED</vt:lpwstr>
  </property>
  <property fmtid="{D5CDD505-2E9C-101B-9397-08002B2CF9AE}" pid="5" name="PM_Qualifier">
    <vt:lpwstr/>
  </property>
  <property fmtid="{D5CDD505-2E9C-101B-9397-08002B2CF9AE}" pid="6" name="PM_SecurityClassification">
    <vt:lpwstr>UNCLASSIFIED</vt:lpwstr>
  </property>
  <property fmtid="{D5CDD505-2E9C-101B-9397-08002B2CF9AE}" pid="7" name="PM_InsertionValue">
    <vt:lpwstr>UNCLASSIFIED</vt:lpwstr>
  </property>
  <property fmtid="{D5CDD505-2E9C-101B-9397-08002B2CF9AE}" pid="8" name="PM_Originating_FileId">
    <vt:lpwstr>B2CEFDF3839B4528A851BB6437444D05</vt:lpwstr>
  </property>
  <property fmtid="{D5CDD505-2E9C-101B-9397-08002B2CF9AE}" pid="9" name="PM_ProtectiveMarkingValue_Footer">
    <vt:lpwstr>UNCLASSIFIED</vt:lpwstr>
  </property>
  <property fmtid="{D5CDD505-2E9C-101B-9397-08002B2CF9AE}" pid="10" name="PM_Originator_Hash_SHA1">
    <vt:lpwstr>C6F049F9215B4860D499B2DEDA77C51102651A20</vt:lpwstr>
  </property>
  <property fmtid="{D5CDD505-2E9C-101B-9397-08002B2CF9AE}" pid="11" name="PM_OriginationTimeStamp">
    <vt:lpwstr>2020-10-26T08:51:53Z</vt:lpwstr>
  </property>
  <property fmtid="{D5CDD505-2E9C-101B-9397-08002B2CF9AE}" pid="12" name="PM_ProtectiveMarkingValue_Header">
    <vt:lpwstr>UNCLASSIFIED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2012.3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E3C9308784BB1D4C05B74B47B66F1425</vt:lpwstr>
  </property>
  <property fmtid="{D5CDD505-2E9C-101B-9397-08002B2CF9AE}" pid="20" name="PM_Hash_Salt">
    <vt:lpwstr>86D9A12C373CCCB4305A33FFCDC7FB79</vt:lpwstr>
  </property>
  <property fmtid="{D5CDD505-2E9C-101B-9397-08002B2CF9AE}" pid="21" name="PM_Hash_SHA1">
    <vt:lpwstr>1DBF8A3C6F2CD7C50CEE452D756AD3F7F74102C3</vt:lpwstr>
  </property>
  <property fmtid="{D5CDD505-2E9C-101B-9397-08002B2CF9AE}" pid="22" name="PM_SecurityClassification_Prev">
    <vt:lpwstr>UNCLASSIFIED</vt:lpwstr>
  </property>
  <property fmtid="{D5CDD505-2E9C-101B-9397-08002B2CF9AE}" pid="23" name="PM_Qualifier_Prev">
    <vt:lpwstr/>
  </property>
  <property fmtid="{D5CDD505-2E9C-101B-9397-08002B2CF9AE}" pid="24" name="APRAPeriod">
    <vt:lpwstr/>
  </property>
  <property fmtid="{D5CDD505-2E9C-101B-9397-08002B2CF9AE}" pid="25" name="ContentTypeId">
    <vt:lpwstr>0x0101008CA7A4F8331B45C7B0D3158B4994D0CA0200BD2A692CFD66A941B2B82EF45B0E040E</vt:lpwstr>
  </property>
  <property fmtid="{D5CDD505-2E9C-101B-9397-08002B2CF9AE}" pid="26" name="_dlc_DocIdItemGuid">
    <vt:lpwstr>c23e4cf3-5ae5-4b25-8440-dbadf6cb4980</vt:lpwstr>
  </property>
  <property fmtid="{D5CDD505-2E9C-101B-9397-08002B2CF9AE}" pid="27" name="APRAPRSG">
    <vt:lpwstr/>
  </property>
  <property fmtid="{D5CDD505-2E9C-101B-9397-08002B2CF9AE}" pid="28" name="APRAStatus">
    <vt:lpwstr>1;#Draft|0e1556d2-3fe8-443a-ada7-3620563b46b3</vt:lpwstr>
  </property>
  <property fmtid="{D5CDD505-2E9C-101B-9397-08002B2CF9AE}" pid="29" name="APRAActivity">
    <vt:lpwstr>47;#Data collection|9c208ec1-acb8-4005-ba1a-e7d4ed62ea16;#48;#Development|7276960b-cd04-4fd9-bbf6-f5b03d867772</vt:lpwstr>
  </property>
  <property fmtid="{D5CDD505-2E9C-101B-9397-08002B2CF9AE}" pid="30" name="APRAYear">
    <vt:lpwstr/>
  </property>
  <property fmtid="{D5CDD505-2E9C-101B-9397-08002B2CF9AE}" pid="31" name="APRAIndustry">
    <vt:lpwstr>11;#SUPER|622d8f75-8851-e311-9e2e-005056b54f10</vt:lpwstr>
  </property>
  <property fmtid="{D5CDD505-2E9C-101B-9397-08002B2CF9AE}" pid="32" name="APRACostCentre">
    <vt:lpwstr/>
  </property>
  <property fmtid="{D5CDD505-2E9C-101B-9397-08002B2CF9AE}" pid="33" name="IT system type">
    <vt:lpwstr/>
  </property>
  <property fmtid="{D5CDD505-2E9C-101B-9397-08002B2CF9AE}" pid="34" name="APRACategory">
    <vt:lpwstr/>
  </property>
  <property fmtid="{D5CDD505-2E9C-101B-9397-08002B2CF9AE}" pid="35" name="APRADocumentType">
    <vt:lpwstr>46;#Instructions|660a0f40-4e53-4a96-ac93-47018aee9683</vt:lpwstr>
  </property>
  <property fmtid="{D5CDD505-2E9C-101B-9397-08002B2CF9AE}" pid="36" name="APRAEntityAdviceSupport">
    <vt:lpwstr/>
  </property>
  <property fmtid="{D5CDD505-2E9C-101B-9397-08002B2CF9AE}" pid="37" name="APRALegislation">
    <vt:lpwstr/>
  </property>
  <property fmtid="{D5CDD505-2E9C-101B-9397-08002B2CF9AE}" pid="38" name="APRAExternalOrganisation">
    <vt:lpwstr/>
  </property>
  <property fmtid="{D5CDD505-2E9C-101B-9397-08002B2CF9AE}" pid="39" name="APRAIRTR">
    <vt:lpwstr/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{99f7d170-f886-4b78-8389-87e4657e4bc8}</vt:lpwstr>
  </property>
  <property fmtid="{D5CDD505-2E9C-101B-9397-08002B2CF9AE}" pid="42" name="RecordPoint_ActiveItemListId">
    <vt:lpwstr>{61fbfb6e-bac9-459c-9569-360598f35847}</vt:lpwstr>
  </property>
  <property fmtid="{D5CDD505-2E9C-101B-9397-08002B2CF9AE}" pid="43" name="RecordPoint_ActiveItemUniqueId">
    <vt:lpwstr>{c23e4cf3-5ae5-4b25-8440-dbadf6cb4980}</vt:lpwstr>
  </property>
  <property fmtid="{D5CDD505-2E9C-101B-9397-08002B2CF9AE}" pid="44" name="RecordPoint_ActiveItemWebId">
    <vt:lpwstr>{ad6dddf9-383b-42a4-9cb2-33e024a97839}</vt:lpwstr>
  </property>
  <property fmtid="{D5CDD505-2E9C-101B-9397-08002B2CF9AE}" pid="45" name="RecordPoint_RecordNumberSubmitted">
    <vt:lpwstr>R0001191275</vt:lpwstr>
  </property>
  <property fmtid="{D5CDD505-2E9C-101B-9397-08002B2CF9AE}" pid="46" name="RecordPoint_SubmissionCompleted">
    <vt:lpwstr>2020-10-20T23:26:12.7608239+11:00</vt:lpwstr>
  </property>
  <property fmtid="{D5CDD505-2E9C-101B-9397-08002B2CF9AE}" pid="47" name="IsLocked">
    <vt:lpwstr>Yes</vt:lpwstr>
  </property>
</Properties>
</file>