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F538C" w14:textId="392C1A7C" w:rsidR="005140BD" w:rsidRDefault="005140BD" w:rsidP="005140BD">
      <w:pPr>
        <w:pStyle w:val="LetterCAPSTitle"/>
      </w:pPr>
      <w:bookmarkStart w:id="0" w:name="_GoBack"/>
      <w:bookmarkEnd w:id="0"/>
      <w:r w:rsidRPr="001107B6">
        <w:t xml:space="preserve">Banking Executive Accountability Regime </w:t>
      </w:r>
      <w:r>
        <w:t>– A</w:t>
      </w:r>
      <w:r w:rsidR="00E23143">
        <w:t>ccountability statement</w:t>
      </w:r>
    </w:p>
    <w:p w14:paraId="00A41C59" w14:textId="3F2DAD19" w:rsidR="005140BD" w:rsidRDefault="00BF014C" w:rsidP="005140BD">
      <w:pPr>
        <w:rPr>
          <w:szCs w:val="22"/>
        </w:rPr>
      </w:pPr>
      <w:r>
        <w:rPr>
          <w:szCs w:val="22"/>
        </w:rPr>
        <w:t xml:space="preserve">Under </w:t>
      </w:r>
      <w:r w:rsidR="009A4363">
        <w:rPr>
          <w:szCs w:val="22"/>
        </w:rPr>
        <w:t>sub</w:t>
      </w:r>
      <w:r>
        <w:rPr>
          <w:szCs w:val="22"/>
        </w:rPr>
        <w:t xml:space="preserve">section </w:t>
      </w:r>
      <w:r>
        <w:t xml:space="preserve">37F(1)(a) of the </w:t>
      </w:r>
      <w:r>
        <w:rPr>
          <w:i/>
        </w:rPr>
        <w:t xml:space="preserve">Banking Act 1959 </w:t>
      </w:r>
      <w:r>
        <w:t>(the Act),</w:t>
      </w:r>
      <w:r>
        <w:rPr>
          <w:szCs w:val="22"/>
        </w:rPr>
        <w:t xml:space="preserve"> </w:t>
      </w:r>
      <w:r w:rsidR="005140BD" w:rsidRPr="005140BD">
        <w:rPr>
          <w:szCs w:val="22"/>
        </w:rPr>
        <w:t>ADIs are required to provide to APRA an accountability statement for each of its accountable persons describing the areas of responsibility attributed to that person.</w:t>
      </w:r>
    </w:p>
    <w:p w14:paraId="32E02A6B" w14:textId="4151A372" w:rsidR="005140BD" w:rsidRPr="005140BD" w:rsidRDefault="00BF014C" w:rsidP="00BF014C">
      <w:r>
        <w:t xml:space="preserve">This template is provided to institutions as a guide to format and minimum content. </w:t>
      </w:r>
      <w:r w:rsidR="00F46E96">
        <w:t>I</w:t>
      </w:r>
      <w:r w:rsidR="005140BD" w:rsidRPr="005140BD">
        <w:t>ndividual statement</w:t>
      </w:r>
      <w:r w:rsidR="00F46E96">
        <w:t>s must</w:t>
      </w:r>
      <w:r w:rsidR="005140BD" w:rsidRPr="005140BD">
        <w:t xml:space="preserve"> reflect </w:t>
      </w:r>
      <w:r w:rsidR="00F46E96">
        <w:t xml:space="preserve">actual </w:t>
      </w:r>
      <w:r w:rsidR="005140BD" w:rsidRPr="005140BD">
        <w:t xml:space="preserve">accountability as </w:t>
      </w:r>
      <w:r w:rsidR="00794D86">
        <w:t xml:space="preserve">it </w:t>
      </w:r>
      <w:r w:rsidR="005140BD" w:rsidRPr="005140BD">
        <w:t xml:space="preserve">operates in practice within the institution. Accountability statements should be specific to both the institution and the individual accountable person. This </w:t>
      </w:r>
      <w:r w:rsidR="00194E9D">
        <w:t>will</w:t>
      </w:r>
      <w:r w:rsidR="005140BD" w:rsidRPr="005140BD">
        <w:t xml:space="preserve"> mean some degree of variation in accountability statements for similar roles between institutions. Such variation is both acceptable and required where reflecting actual practice.</w:t>
      </w:r>
    </w:p>
    <w:p w14:paraId="0BAFDF8F" w14:textId="77777777" w:rsidR="00BF014C" w:rsidRDefault="00BF014C" w:rsidP="00BF014C">
      <w:r>
        <w:t>APRA expects accountability statements to:</w:t>
      </w:r>
    </w:p>
    <w:p w14:paraId="18520AE8" w14:textId="4C0C1B86" w:rsidR="00794D86" w:rsidRPr="00794D86" w:rsidRDefault="00794D86" w:rsidP="00794D86">
      <w:pPr>
        <w:pStyle w:val="BULLET1"/>
      </w:pPr>
      <w:r w:rsidRPr="00794D86">
        <w:t xml:space="preserve">clearly articulate what an accountable person is accountable for with respect to the </w:t>
      </w:r>
      <w:r w:rsidR="00C03764">
        <w:t xml:space="preserve">ADI or </w:t>
      </w:r>
      <w:r w:rsidRPr="00794D86">
        <w:t>ADI group, and be sufficiently explicit and detailed in defining the accountable person’s responsibilities and establishing the outcome expected in relation to each responsibility;</w:t>
      </w:r>
    </w:p>
    <w:p w14:paraId="1E793722" w14:textId="12E8D164" w:rsidR="00794D86" w:rsidRPr="00794D86" w:rsidRDefault="00794D86" w:rsidP="00794D86">
      <w:pPr>
        <w:pStyle w:val="BULLET1"/>
      </w:pPr>
      <w:r w:rsidRPr="00794D86">
        <w:t xml:space="preserve">be comprehensive, covering all areas of responsibility of an accountable person, with no gaps in accountability. Where there is joint accountability, this should be explicitly identified and defined. Caveats or limitations to accountability </w:t>
      </w:r>
      <w:r w:rsidR="009961FE">
        <w:t xml:space="preserve">are expected to </w:t>
      </w:r>
      <w:r w:rsidRPr="00794D86">
        <w:t xml:space="preserve">be used </w:t>
      </w:r>
      <w:r w:rsidR="00EA3107">
        <w:t>to the</w:t>
      </w:r>
      <w:r w:rsidRPr="00794D86">
        <w:t xml:space="preserve"> minimum</w:t>
      </w:r>
      <w:r w:rsidR="00EA3107">
        <w:t xml:space="preserve"> extent possible</w:t>
      </w:r>
      <w:r w:rsidRPr="00794D86">
        <w:t xml:space="preserve">. Where there are caveats to accountabilities, there should be clarity about where the residual accountability resides; </w:t>
      </w:r>
    </w:p>
    <w:p w14:paraId="2B44C674" w14:textId="77777777" w:rsidR="00794D86" w:rsidRPr="00794D86" w:rsidRDefault="00794D86" w:rsidP="00794D86">
      <w:pPr>
        <w:pStyle w:val="BULLET1"/>
      </w:pPr>
      <w:r w:rsidRPr="00794D86">
        <w:t>align with the actual practices and governance arrangements of the ADI. As such, APRA will query an institution where its accountability statements do not appear to be consistent with existing ADI documentation including, but not limited to, internal and external governance documents; and</w:t>
      </w:r>
    </w:p>
    <w:p w14:paraId="486433D4" w14:textId="57580DD9" w:rsidR="00794D86" w:rsidRPr="00794D86" w:rsidRDefault="00794D86" w:rsidP="00794D86">
      <w:pPr>
        <w:pStyle w:val="BULLET1"/>
      </w:pPr>
      <w:r w:rsidRPr="00794D86">
        <w:t>when considered collectively, articulate and delineate accountability across an ADI or ADI group.</w:t>
      </w:r>
    </w:p>
    <w:p w14:paraId="61C461CE" w14:textId="3AEE5544" w:rsidR="0011279A" w:rsidRPr="00690B5E" w:rsidRDefault="0011279A" w:rsidP="0011279A">
      <w:pPr>
        <w:pStyle w:val="BULLET1"/>
        <w:numPr>
          <w:ilvl w:val="0"/>
          <w:numId w:val="0"/>
        </w:numPr>
        <w:rPr>
          <w:lang w:val="en-US"/>
        </w:rPr>
      </w:pPr>
      <w:r>
        <w:rPr>
          <w:lang w:val="en-US"/>
        </w:rPr>
        <w:t>The template</w:t>
      </w:r>
      <w:r w:rsidRPr="003D2B7B">
        <w:rPr>
          <w:lang w:val="en-US"/>
        </w:rPr>
        <w:t xml:space="preserve"> is accompanied by</w:t>
      </w:r>
      <w:r w:rsidR="00FD2EF8">
        <w:rPr>
          <w:lang w:val="en-US"/>
        </w:rPr>
        <w:t xml:space="preserve"> instructions and</w:t>
      </w:r>
      <w:r w:rsidRPr="003D2B7B">
        <w:rPr>
          <w:lang w:val="en-US"/>
        </w:rPr>
        <w:t xml:space="preserve"> </w:t>
      </w:r>
      <w:r>
        <w:rPr>
          <w:lang w:val="en-US"/>
        </w:rPr>
        <w:t>guidance</w:t>
      </w:r>
      <w:r w:rsidR="00FD2EF8">
        <w:rPr>
          <w:lang w:val="en-US"/>
        </w:rPr>
        <w:t xml:space="preserve"> on minimum content</w:t>
      </w:r>
      <w:r>
        <w:rPr>
          <w:lang w:val="en-US"/>
        </w:rPr>
        <w:t xml:space="preserve"> </w:t>
      </w:r>
      <w:r w:rsidRPr="003D2B7B">
        <w:rPr>
          <w:lang w:val="en-US"/>
        </w:rPr>
        <w:t>to assist ADIs</w:t>
      </w:r>
      <w:r>
        <w:rPr>
          <w:lang w:val="en-US"/>
        </w:rPr>
        <w:t xml:space="preserve"> in</w:t>
      </w:r>
      <w:r w:rsidR="00FD2EF8">
        <w:rPr>
          <w:lang w:val="en-US"/>
        </w:rPr>
        <w:t xml:space="preserve"> providing the required information</w:t>
      </w:r>
      <w:r>
        <w:rPr>
          <w:lang w:val="en-US"/>
        </w:rPr>
        <w:t xml:space="preserve"> </w:t>
      </w:r>
      <w:r w:rsidR="00FD2EF8">
        <w:rPr>
          <w:lang w:val="en-US"/>
        </w:rPr>
        <w:t>– see Attachment A</w:t>
      </w:r>
      <w:r w:rsidRPr="003D2B7B">
        <w:rPr>
          <w:lang w:val="en-US"/>
        </w:rPr>
        <w:t>.</w:t>
      </w:r>
      <w:r>
        <w:rPr>
          <w:lang w:val="en-US"/>
        </w:rPr>
        <w:t xml:space="preserve"> </w:t>
      </w:r>
    </w:p>
    <w:p w14:paraId="30CE6594" w14:textId="77777777" w:rsidR="0011279A" w:rsidRDefault="0011279A" w:rsidP="0011279A">
      <w:pPr>
        <w:pStyle w:val="BULLET1"/>
        <w:numPr>
          <w:ilvl w:val="0"/>
          <w:numId w:val="0"/>
        </w:numPr>
      </w:pPr>
    </w:p>
    <w:p w14:paraId="5141FF63" w14:textId="77777777" w:rsidR="00E23143" w:rsidRPr="00F86A8A" w:rsidRDefault="00E23143" w:rsidP="00E23143">
      <w:pPr>
        <w:pStyle w:val="BULLET1"/>
        <w:numPr>
          <w:ilvl w:val="0"/>
          <w:numId w:val="0"/>
        </w:numPr>
      </w:pPr>
    </w:p>
    <w:p w14:paraId="281F1202" w14:textId="77777777" w:rsidR="005140BD" w:rsidRDefault="005140BD">
      <w:pPr>
        <w:spacing w:after="120" w:line="288" w:lineRule="auto"/>
        <w:jc w:val="left"/>
        <w:rPr>
          <w:b/>
          <w:sz w:val="40"/>
          <w:szCs w:val="40"/>
        </w:rPr>
      </w:pPr>
    </w:p>
    <w:p w14:paraId="46480419" w14:textId="77777777" w:rsidR="005140BD" w:rsidRDefault="005140BD">
      <w:pPr>
        <w:spacing w:after="120" w:line="288" w:lineRule="auto"/>
        <w:jc w:val="left"/>
        <w:rPr>
          <w:b/>
          <w:sz w:val="40"/>
          <w:szCs w:val="40"/>
        </w:rPr>
      </w:pPr>
      <w:r>
        <w:rPr>
          <w:b/>
          <w:sz w:val="40"/>
          <w:szCs w:val="40"/>
        </w:rPr>
        <w:br w:type="page"/>
      </w:r>
    </w:p>
    <w:p w14:paraId="215E0957" w14:textId="18CAF8BF" w:rsidR="00821B8B" w:rsidRDefault="00D910B2" w:rsidP="00BF014C">
      <w:pPr>
        <w:pStyle w:val="LetterCAPSTitle"/>
      </w:pPr>
      <w:r w:rsidRPr="00D910B2">
        <w:lastRenderedPageBreak/>
        <w:t>Accountability statement</w:t>
      </w:r>
      <w:r w:rsidR="00A22ED3">
        <w:t xml:space="preserve"> </w:t>
      </w:r>
    </w:p>
    <w:p w14:paraId="404C4096" w14:textId="08CEEF63" w:rsidR="004A6C98" w:rsidRPr="00D910B2" w:rsidRDefault="004A6C98" w:rsidP="004A6C98">
      <w:r>
        <w:t xml:space="preserve">This accountability statement is provided to APRA under subsection 37F(1)(a) of the </w:t>
      </w:r>
      <w:r>
        <w:rPr>
          <w:i/>
        </w:rPr>
        <w:t xml:space="preserve">Banking Act 1959 </w:t>
      </w:r>
      <w:r>
        <w:t>(the Act)</w:t>
      </w:r>
      <w:r w:rsidR="00374401">
        <w:t>.</w:t>
      </w:r>
    </w:p>
    <w:tbl>
      <w:tblPr>
        <w:tblStyle w:val="TableGrid"/>
        <w:tblW w:w="0" w:type="auto"/>
        <w:tblLook w:val="04A0" w:firstRow="1" w:lastRow="0" w:firstColumn="1" w:lastColumn="0" w:noHBand="0" w:noVBand="1"/>
      </w:tblPr>
      <w:tblGrid>
        <w:gridCol w:w="2258"/>
        <w:gridCol w:w="6758"/>
      </w:tblGrid>
      <w:tr w:rsidR="00A22ED3" w14:paraId="3459F6AF" w14:textId="77777777" w:rsidTr="00DF28AC">
        <w:tc>
          <w:tcPr>
            <w:tcW w:w="2258" w:type="dxa"/>
            <w:tcBorders>
              <w:bottom w:val="single" w:sz="4" w:space="0" w:color="FFFFFF" w:themeColor="background1"/>
            </w:tcBorders>
            <w:shd w:val="clear" w:color="auto" w:fill="012169"/>
          </w:tcPr>
          <w:p w14:paraId="4174C0F6" w14:textId="28B0EDF8" w:rsidR="00A22ED3" w:rsidRPr="00E23143" w:rsidRDefault="00A22ED3" w:rsidP="00DF28AC">
            <w:pPr>
              <w:pStyle w:val="Tabletext"/>
              <w:rPr>
                <w:b/>
              </w:rPr>
            </w:pPr>
            <w:r>
              <w:rPr>
                <w:b/>
              </w:rPr>
              <w:t>Last updated</w:t>
            </w:r>
          </w:p>
        </w:tc>
        <w:tc>
          <w:tcPr>
            <w:tcW w:w="6758" w:type="dxa"/>
          </w:tcPr>
          <w:p w14:paraId="371B7B67" w14:textId="28A338E9" w:rsidR="00A22ED3" w:rsidRDefault="00A22ED3" w:rsidP="00DF28AC">
            <w:pPr>
              <w:pStyle w:val="Tabletext"/>
            </w:pPr>
          </w:p>
        </w:tc>
      </w:tr>
    </w:tbl>
    <w:p w14:paraId="2FE4821C" w14:textId="77777777" w:rsidR="00D910B2" w:rsidRDefault="00D910B2" w:rsidP="00E45B9B">
      <w:pPr>
        <w:spacing w:after="0"/>
      </w:pPr>
    </w:p>
    <w:p w14:paraId="4560A25E" w14:textId="2F82C914" w:rsidR="0002664F" w:rsidRPr="00E45B9B" w:rsidRDefault="0002664F" w:rsidP="00BF014C">
      <w:pPr>
        <w:pStyle w:val="Heading4"/>
      </w:pPr>
      <w:r w:rsidRPr="00E45B9B">
        <w:t xml:space="preserve">Section 1: </w:t>
      </w:r>
      <w:r w:rsidR="00E45B9B" w:rsidRPr="00E45B9B">
        <w:t>A</w:t>
      </w:r>
      <w:r w:rsidRPr="00E45B9B">
        <w:t>ccountable person details</w:t>
      </w:r>
    </w:p>
    <w:tbl>
      <w:tblPr>
        <w:tblStyle w:val="TableGrid"/>
        <w:tblW w:w="0" w:type="auto"/>
        <w:tblLook w:val="04A0" w:firstRow="1" w:lastRow="0" w:firstColumn="1" w:lastColumn="0" w:noHBand="0" w:noVBand="1"/>
      </w:tblPr>
      <w:tblGrid>
        <w:gridCol w:w="2258"/>
        <w:gridCol w:w="6758"/>
      </w:tblGrid>
      <w:tr w:rsidR="00821B8B" w14:paraId="3DF1C279" w14:textId="77777777" w:rsidTr="00747747">
        <w:tc>
          <w:tcPr>
            <w:tcW w:w="2258" w:type="dxa"/>
            <w:tcBorders>
              <w:bottom w:val="single" w:sz="4" w:space="0" w:color="FFFFFF" w:themeColor="background1"/>
            </w:tcBorders>
            <w:shd w:val="clear" w:color="auto" w:fill="012169"/>
          </w:tcPr>
          <w:p w14:paraId="2741C7F7" w14:textId="77777777" w:rsidR="00821B8B" w:rsidRPr="00E23143" w:rsidRDefault="00821B8B" w:rsidP="00BF014C">
            <w:pPr>
              <w:pStyle w:val="Tabletext"/>
              <w:rPr>
                <w:b/>
              </w:rPr>
            </w:pPr>
            <w:r w:rsidRPr="00E23143">
              <w:rPr>
                <w:b/>
              </w:rPr>
              <w:t>Name</w:t>
            </w:r>
          </w:p>
        </w:tc>
        <w:tc>
          <w:tcPr>
            <w:tcW w:w="6758" w:type="dxa"/>
          </w:tcPr>
          <w:p w14:paraId="21A12413" w14:textId="77777777" w:rsidR="00821B8B" w:rsidRDefault="00821B8B" w:rsidP="00BF014C">
            <w:pPr>
              <w:pStyle w:val="Tabletext"/>
            </w:pPr>
          </w:p>
        </w:tc>
      </w:tr>
      <w:tr w:rsidR="00821B8B" w14:paraId="69C6B1C0" w14:textId="77777777" w:rsidTr="00747747">
        <w:tc>
          <w:tcPr>
            <w:tcW w:w="2258" w:type="dxa"/>
            <w:tcBorders>
              <w:top w:val="single" w:sz="4" w:space="0" w:color="FFFFFF" w:themeColor="background1"/>
              <w:bottom w:val="single" w:sz="4" w:space="0" w:color="FFFFFF" w:themeColor="background1"/>
            </w:tcBorders>
            <w:shd w:val="clear" w:color="auto" w:fill="012169"/>
          </w:tcPr>
          <w:p w14:paraId="7EBE6010" w14:textId="4180BE60" w:rsidR="00821B8B" w:rsidRPr="00E23143" w:rsidRDefault="00F72451" w:rsidP="00BF014C">
            <w:pPr>
              <w:pStyle w:val="Tabletext"/>
              <w:rPr>
                <w:b/>
              </w:rPr>
            </w:pPr>
            <w:r w:rsidRPr="00E23143">
              <w:rPr>
                <w:b/>
              </w:rPr>
              <w:t>Institution</w:t>
            </w:r>
          </w:p>
        </w:tc>
        <w:tc>
          <w:tcPr>
            <w:tcW w:w="6758" w:type="dxa"/>
          </w:tcPr>
          <w:p w14:paraId="68784A49" w14:textId="77777777" w:rsidR="00821B8B" w:rsidRDefault="00821B8B" w:rsidP="00BF014C">
            <w:pPr>
              <w:pStyle w:val="Tabletext"/>
            </w:pPr>
          </w:p>
        </w:tc>
      </w:tr>
      <w:tr w:rsidR="00981C89" w14:paraId="2F647391" w14:textId="77777777" w:rsidTr="00747747">
        <w:tc>
          <w:tcPr>
            <w:tcW w:w="2258" w:type="dxa"/>
            <w:tcBorders>
              <w:top w:val="single" w:sz="4" w:space="0" w:color="FFFFFF" w:themeColor="background1"/>
              <w:bottom w:val="single" w:sz="4" w:space="0" w:color="FFFFFF" w:themeColor="background1"/>
            </w:tcBorders>
            <w:shd w:val="clear" w:color="auto" w:fill="012169"/>
          </w:tcPr>
          <w:p w14:paraId="2E371964" w14:textId="38171237" w:rsidR="00981C89" w:rsidRPr="00E23143" w:rsidRDefault="00981C89" w:rsidP="00BF014C">
            <w:pPr>
              <w:pStyle w:val="Tabletext"/>
              <w:rPr>
                <w:b/>
              </w:rPr>
            </w:pPr>
            <w:r>
              <w:rPr>
                <w:b/>
              </w:rPr>
              <w:t>Employer</w:t>
            </w:r>
          </w:p>
        </w:tc>
        <w:tc>
          <w:tcPr>
            <w:tcW w:w="6758" w:type="dxa"/>
          </w:tcPr>
          <w:p w14:paraId="12D5CE9F" w14:textId="77777777" w:rsidR="00981C89" w:rsidRDefault="00981C89" w:rsidP="00BF014C">
            <w:pPr>
              <w:pStyle w:val="Tabletext"/>
            </w:pPr>
          </w:p>
        </w:tc>
      </w:tr>
      <w:tr w:rsidR="00821B8B" w14:paraId="6B0107FE" w14:textId="77777777" w:rsidTr="00747747">
        <w:tc>
          <w:tcPr>
            <w:tcW w:w="2258" w:type="dxa"/>
            <w:tcBorders>
              <w:top w:val="single" w:sz="4" w:space="0" w:color="FFFFFF" w:themeColor="background1"/>
              <w:bottom w:val="single" w:sz="4" w:space="0" w:color="FFFFFF" w:themeColor="background1"/>
            </w:tcBorders>
            <w:shd w:val="clear" w:color="auto" w:fill="012169"/>
          </w:tcPr>
          <w:p w14:paraId="069E0DC9" w14:textId="5DF8E2F2" w:rsidR="00821B8B" w:rsidRPr="00E23143" w:rsidRDefault="00821B8B" w:rsidP="00BF014C">
            <w:pPr>
              <w:pStyle w:val="Tabletext"/>
              <w:rPr>
                <w:b/>
              </w:rPr>
            </w:pPr>
            <w:r w:rsidRPr="00E23143">
              <w:rPr>
                <w:b/>
              </w:rPr>
              <w:t xml:space="preserve">Role </w:t>
            </w:r>
            <w:r w:rsidR="00E45B9B" w:rsidRPr="00E23143">
              <w:rPr>
                <w:b/>
              </w:rPr>
              <w:t>t</w:t>
            </w:r>
            <w:r w:rsidRPr="00E23143">
              <w:rPr>
                <w:b/>
              </w:rPr>
              <w:t>itle</w:t>
            </w:r>
          </w:p>
        </w:tc>
        <w:tc>
          <w:tcPr>
            <w:tcW w:w="6758" w:type="dxa"/>
          </w:tcPr>
          <w:p w14:paraId="7883953C" w14:textId="77777777" w:rsidR="00821B8B" w:rsidRDefault="00821B8B" w:rsidP="00BF014C">
            <w:pPr>
              <w:pStyle w:val="Tabletext"/>
            </w:pPr>
          </w:p>
        </w:tc>
      </w:tr>
      <w:tr w:rsidR="00821B8B" w14:paraId="65E98838" w14:textId="77777777" w:rsidTr="00747747">
        <w:tc>
          <w:tcPr>
            <w:tcW w:w="2258" w:type="dxa"/>
            <w:tcBorders>
              <w:top w:val="single" w:sz="4" w:space="0" w:color="FFFFFF" w:themeColor="background1"/>
              <w:bottom w:val="single" w:sz="4" w:space="0" w:color="FFFFFF" w:themeColor="background1"/>
            </w:tcBorders>
            <w:shd w:val="clear" w:color="auto" w:fill="012169"/>
          </w:tcPr>
          <w:p w14:paraId="219C9C61" w14:textId="148DAC2F" w:rsidR="00821B8B" w:rsidRPr="00E23143" w:rsidRDefault="00821B8B" w:rsidP="00BF014C">
            <w:pPr>
              <w:pStyle w:val="Tabletext"/>
              <w:rPr>
                <w:b/>
              </w:rPr>
            </w:pPr>
            <w:r w:rsidRPr="00E23143">
              <w:rPr>
                <w:b/>
              </w:rPr>
              <w:t xml:space="preserve">Role </w:t>
            </w:r>
            <w:r w:rsidR="00E45B9B" w:rsidRPr="00E23143">
              <w:rPr>
                <w:b/>
              </w:rPr>
              <w:t>s</w:t>
            </w:r>
            <w:r w:rsidRPr="00E23143">
              <w:rPr>
                <w:b/>
              </w:rPr>
              <w:t xml:space="preserve">tart </w:t>
            </w:r>
            <w:r w:rsidR="00E45B9B" w:rsidRPr="00E23143">
              <w:rPr>
                <w:b/>
              </w:rPr>
              <w:t>d</w:t>
            </w:r>
            <w:r w:rsidRPr="00E23143">
              <w:rPr>
                <w:b/>
              </w:rPr>
              <w:t>ate</w:t>
            </w:r>
          </w:p>
        </w:tc>
        <w:tc>
          <w:tcPr>
            <w:tcW w:w="6758" w:type="dxa"/>
          </w:tcPr>
          <w:p w14:paraId="1027E785" w14:textId="77777777" w:rsidR="00821B8B" w:rsidRDefault="00821B8B" w:rsidP="00BF014C">
            <w:pPr>
              <w:pStyle w:val="Tabletext"/>
            </w:pPr>
          </w:p>
        </w:tc>
      </w:tr>
      <w:tr w:rsidR="00821B8B" w14:paraId="0FDD7733" w14:textId="77777777" w:rsidTr="00747747">
        <w:tc>
          <w:tcPr>
            <w:tcW w:w="2258" w:type="dxa"/>
            <w:tcBorders>
              <w:top w:val="single" w:sz="4" w:space="0" w:color="FFFFFF" w:themeColor="background1"/>
              <w:bottom w:val="single" w:sz="4" w:space="0" w:color="FFFFFF" w:themeColor="background1"/>
            </w:tcBorders>
            <w:shd w:val="clear" w:color="auto" w:fill="012169"/>
          </w:tcPr>
          <w:p w14:paraId="4B1BC14E" w14:textId="700EF4A6" w:rsidR="00821B8B" w:rsidRPr="00E23143" w:rsidRDefault="00821B8B" w:rsidP="00BF014C">
            <w:pPr>
              <w:pStyle w:val="Tabletext"/>
              <w:rPr>
                <w:b/>
              </w:rPr>
            </w:pPr>
            <w:r w:rsidRPr="00E23143">
              <w:rPr>
                <w:b/>
              </w:rPr>
              <w:t xml:space="preserve">Reports </w:t>
            </w:r>
            <w:r w:rsidR="00E45B9B" w:rsidRPr="00E23143">
              <w:rPr>
                <w:b/>
              </w:rPr>
              <w:t>t</w:t>
            </w:r>
            <w:r w:rsidRPr="00E23143">
              <w:rPr>
                <w:b/>
              </w:rPr>
              <w:t>o</w:t>
            </w:r>
          </w:p>
        </w:tc>
        <w:tc>
          <w:tcPr>
            <w:tcW w:w="6758" w:type="dxa"/>
          </w:tcPr>
          <w:p w14:paraId="02D3BBEF" w14:textId="77777777" w:rsidR="00821B8B" w:rsidRDefault="00821B8B" w:rsidP="00BF014C">
            <w:pPr>
              <w:pStyle w:val="Tabletext"/>
            </w:pPr>
          </w:p>
        </w:tc>
      </w:tr>
      <w:tr w:rsidR="0002664F" w14:paraId="0CC02730" w14:textId="77777777" w:rsidTr="00747747">
        <w:tc>
          <w:tcPr>
            <w:tcW w:w="2258" w:type="dxa"/>
            <w:vMerge w:val="restart"/>
            <w:tcBorders>
              <w:top w:val="single" w:sz="4" w:space="0" w:color="FFFFFF" w:themeColor="background1"/>
            </w:tcBorders>
            <w:shd w:val="clear" w:color="auto" w:fill="012169"/>
            <w:vAlign w:val="center"/>
          </w:tcPr>
          <w:p w14:paraId="3E329BEC" w14:textId="77777777" w:rsidR="0002664F" w:rsidRPr="00E23143" w:rsidRDefault="0002664F" w:rsidP="00BF014C">
            <w:pPr>
              <w:pStyle w:val="Tabletext"/>
              <w:rPr>
                <w:b/>
              </w:rPr>
            </w:pPr>
            <w:r w:rsidRPr="00E23143">
              <w:rPr>
                <w:b/>
              </w:rPr>
              <w:t>Responsibilities</w:t>
            </w:r>
          </w:p>
        </w:tc>
        <w:tc>
          <w:tcPr>
            <w:tcW w:w="6758" w:type="dxa"/>
          </w:tcPr>
          <w:p w14:paraId="369486A6" w14:textId="7B5AD4B9" w:rsidR="0002664F" w:rsidRPr="00BF014C" w:rsidRDefault="00374401" w:rsidP="00BF014C">
            <w:pPr>
              <w:pStyle w:val="Tabletext"/>
              <w:rPr>
                <w:b/>
              </w:rPr>
            </w:pPr>
            <w:r>
              <w:rPr>
                <w:b/>
              </w:rPr>
              <w:t>R</w:t>
            </w:r>
            <w:r w:rsidR="00314D0F" w:rsidRPr="00BF014C">
              <w:rPr>
                <w:b/>
              </w:rPr>
              <w:t>esponsibilit</w:t>
            </w:r>
            <w:r w:rsidR="00E514D0" w:rsidRPr="00BF014C">
              <w:rPr>
                <w:b/>
              </w:rPr>
              <w:t>ies under</w:t>
            </w:r>
            <w:r w:rsidR="00877743" w:rsidRPr="00BF014C">
              <w:rPr>
                <w:b/>
              </w:rPr>
              <w:t xml:space="preserve"> </w:t>
            </w:r>
            <w:r w:rsidR="00314D0F" w:rsidRPr="00BF014C">
              <w:rPr>
                <w:b/>
              </w:rPr>
              <w:t>subsection 37BA(1</w:t>
            </w:r>
            <w:r w:rsidR="0021170D">
              <w:rPr>
                <w:b/>
              </w:rPr>
              <w:t>) of the Act:</w:t>
            </w:r>
          </w:p>
          <w:p w14:paraId="7AFE66F1" w14:textId="77777777" w:rsidR="00BC7B2C" w:rsidRDefault="00BC7B2C" w:rsidP="00BF014C">
            <w:pPr>
              <w:pStyle w:val="Tabletext"/>
            </w:pPr>
            <w:r>
              <w:t>[</w:t>
            </w:r>
            <w:r w:rsidRPr="00BF014C">
              <w:rPr>
                <w:i/>
              </w:rPr>
              <w:t>INSERT</w:t>
            </w:r>
            <w:r>
              <w:t>]</w:t>
            </w:r>
          </w:p>
        </w:tc>
      </w:tr>
      <w:tr w:rsidR="0002664F" w14:paraId="3DB7FD29" w14:textId="77777777" w:rsidTr="00747747">
        <w:tc>
          <w:tcPr>
            <w:tcW w:w="2258" w:type="dxa"/>
            <w:vMerge/>
            <w:tcBorders>
              <w:bottom w:val="single" w:sz="4" w:space="0" w:color="FFFFFF" w:themeColor="background1"/>
            </w:tcBorders>
            <w:shd w:val="clear" w:color="auto" w:fill="012169"/>
          </w:tcPr>
          <w:p w14:paraId="42AC04D3" w14:textId="77777777" w:rsidR="0002664F" w:rsidRPr="00E45B9B" w:rsidRDefault="0002664F" w:rsidP="00BF014C">
            <w:pPr>
              <w:pStyle w:val="Tabletext"/>
            </w:pPr>
          </w:p>
        </w:tc>
        <w:tc>
          <w:tcPr>
            <w:tcW w:w="6758" w:type="dxa"/>
          </w:tcPr>
          <w:p w14:paraId="5C41E8D2" w14:textId="6449EA7E" w:rsidR="0002664F" w:rsidRPr="00BF014C" w:rsidRDefault="00314D0F" w:rsidP="00BF014C">
            <w:pPr>
              <w:pStyle w:val="Tabletext"/>
              <w:rPr>
                <w:b/>
              </w:rPr>
            </w:pPr>
            <w:r w:rsidRPr="00BF014C">
              <w:rPr>
                <w:b/>
              </w:rPr>
              <w:t>P</w:t>
            </w:r>
            <w:r w:rsidR="00661752" w:rsidRPr="00BF014C">
              <w:rPr>
                <w:b/>
              </w:rPr>
              <w:t>articular</w:t>
            </w:r>
            <w:r w:rsidRPr="00BF014C">
              <w:rPr>
                <w:b/>
              </w:rPr>
              <w:t xml:space="preserve"> </w:t>
            </w:r>
            <w:r w:rsidR="00661752" w:rsidRPr="00BF014C">
              <w:rPr>
                <w:b/>
              </w:rPr>
              <w:t>r</w:t>
            </w:r>
            <w:r w:rsidRPr="00BF014C">
              <w:rPr>
                <w:b/>
              </w:rPr>
              <w:t>esponsibilit</w:t>
            </w:r>
            <w:r w:rsidR="00661752" w:rsidRPr="00BF014C">
              <w:rPr>
                <w:b/>
              </w:rPr>
              <w:t>ies</w:t>
            </w:r>
            <w:r w:rsidRPr="00BF014C">
              <w:rPr>
                <w:b/>
              </w:rPr>
              <w:t xml:space="preserve"> </w:t>
            </w:r>
            <w:r w:rsidR="00374401">
              <w:rPr>
                <w:b/>
              </w:rPr>
              <w:t xml:space="preserve">under </w:t>
            </w:r>
            <w:r w:rsidR="0021170D" w:rsidRPr="0021170D">
              <w:rPr>
                <w:b/>
              </w:rPr>
              <w:t>subsection</w:t>
            </w:r>
            <w:r w:rsidRPr="00BF014C">
              <w:rPr>
                <w:b/>
              </w:rPr>
              <w:t xml:space="preserve"> 37BA(2)</w:t>
            </w:r>
            <w:r w:rsidR="00661752" w:rsidRPr="00BF014C">
              <w:rPr>
                <w:b/>
              </w:rPr>
              <w:t xml:space="preserve"> or </w:t>
            </w:r>
            <w:r w:rsidR="0021170D" w:rsidRPr="0021170D">
              <w:rPr>
                <w:b/>
              </w:rPr>
              <w:t>37BA</w:t>
            </w:r>
            <w:r w:rsidR="00661752" w:rsidRPr="00BF014C">
              <w:rPr>
                <w:b/>
              </w:rPr>
              <w:t>(6</w:t>
            </w:r>
            <w:r w:rsidR="0021170D" w:rsidRPr="0021170D">
              <w:rPr>
                <w:b/>
              </w:rPr>
              <w:t>) of the Act:</w:t>
            </w:r>
          </w:p>
          <w:p w14:paraId="678D95C8" w14:textId="77777777" w:rsidR="00BC7B2C" w:rsidRDefault="00BC7B2C" w:rsidP="00BF014C">
            <w:pPr>
              <w:pStyle w:val="Tabletext"/>
            </w:pPr>
            <w:r>
              <w:t>[</w:t>
            </w:r>
            <w:r w:rsidRPr="00BF014C">
              <w:rPr>
                <w:i/>
              </w:rPr>
              <w:t>INSERT</w:t>
            </w:r>
            <w:r>
              <w:t>]</w:t>
            </w:r>
          </w:p>
        </w:tc>
      </w:tr>
    </w:tbl>
    <w:p w14:paraId="5677F020" w14:textId="77777777" w:rsidR="00314D0F" w:rsidRDefault="00314D0F" w:rsidP="00B531B4"/>
    <w:p w14:paraId="5243DA7C" w14:textId="77777777" w:rsidR="00314D0F" w:rsidRDefault="00314D0F" w:rsidP="00314D0F">
      <w:r>
        <w:br w:type="page"/>
      </w:r>
    </w:p>
    <w:p w14:paraId="10219F3E" w14:textId="4A565CA7" w:rsidR="00821B8B" w:rsidRPr="00B6750B" w:rsidRDefault="00314D0F" w:rsidP="00E23143">
      <w:pPr>
        <w:pStyle w:val="Heading4"/>
      </w:pPr>
      <w:r w:rsidRPr="00B6750B">
        <w:lastRenderedPageBreak/>
        <w:t xml:space="preserve">Section 2: Responsibilities of the </w:t>
      </w:r>
      <w:r w:rsidR="00E45B9B" w:rsidRPr="00B6750B">
        <w:t>a</w:t>
      </w:r>
      <w:r w:rsidRPr="00B6750B">
        <w:t xml:space="preserve">ccountable </w:t>
      </w:r>
      <w:r w:rsidR="00E45B9B" w:rsidRPr="00B6750B">
        <w:t>p</w:t>
      </w:r>
      <w:r w:rsidRPr="00B6750B">
        <w:t>erson</w:t>
      </w:r>
    </w:p>
    <w:tbl>
      <w:tblPr>
        <w:tblStyle w:val="TableGrid"/>
        <w:tblW w:w="0" w:type="auto"/>
        <w:tblLook w:val="04A0" w:firstRow="1" w:lastRow="0" w:firstColumn="1" w:lastColumn="0" w:noHBand="0" w:noVBand="1"/>
      </w:tblPr>
      <w:tblGrid>
        <w:gridCol w:w="9016"/>
      </w:tblGrid>
      <w:tr w:rsidR="00553DB4" w14:paraId="465C932D" w14:textId="77777777" w:rsidTr="00553DB4">
        <w:tc>
          <w:tcPr>
            <w:tcW w:w="9016" w:type="dxa"/>
          </w:tcPr>
          <w:p w14:paraId="4D53298B" w14:textId="78415746" w:rsidR="00553DB4" w:rsidRDefault="00652B9F" w:rsidP="00B6750B">
            <w:pPr>
              <w:spacing w:before="120" w:after="120"/>
            </w:pPr>
            <w:r w:rsidRPr="00A36C88">
              <w:rPr>
                <w:b/>
              </w:rPr>
              <w:t>Part or aspect of the ADI’s or subsidiary’s operations of which the accountable person has actual or effective responsibility for management or control (subsection 37FA(1)(a)</w:t>
            </w:r>
            <w:r w:rsidR="00851908">
              <w:rPr>
                <w:b/>
              </w:rPr>
              <w:t xml:space="preserve"> of the Act</w:t>
            </w:r>
            <w:r>
              <w:rPr>
                <w:b/>
              </w:rPr>
              <w:t>)</w:t>
            </w:r>
            <w:r w:rsidRPr="00A36C88">
              <w:rPr>
                <w:b/>
              </w:rPr>
              <w:t>:</w:t>
            </w:r>
          </w:p>
          <w:p w14:paraId="3137D7BF" w14:textId="3071764B" w:rsidR="00553DB4" w:rsidRPr="00F97AA4" w:rsidRDefault="00F97AA4" w:rsidP="00851908">
            <w:pPr>
              <w:spacing w:before="120" w:after="120"/>
              <w:rPr>
                <w:i/>
              </w:rPr>
            </w:pPr>
            <w:r w:rsidRPr="00F97AA4">
              <w:rPr>
                <w:i/>
              </w:rPr>
              <w:t>[INSERT]</w:t>
            </w:r>
          </w:p>
        </w:tc>
      </w:tr>
    </w:tbl>
    <w:p w14:paraId="3967B3BB" w14:textId="77777777" w:rsidR="00553DB4" w:rsidRDefault="00553DB4" w:rsidP="00B6750B">
      <w:pPr>
        <w:pStyle w:val="LetterCAPSTitle"/>
        <w:spacing w:after="0"/>
      </w:pPr>
    </w:p>
    <w:tbl>
      <w:tblPr>
        <w:tblStyle w:val="TableGrid"/>
        <w:tblW w:w="0" w:type="auto"/>
        <w:tblLayout w:type="fixed"/>
        <w:tblLook w:val="04A0" w:firstRow="1" w:lastRow="0" w:firstColumn="1" w:lastColumn="0" w:noHBand="0" w:noVBand="1"/>
      </w:tblPr>
      <w:tblGrid>
        <w:gridCol w:w="656"/>
        <w:gridCol w:w="2174"/>
        <w:gridCol w:w="5265"/>
        <w:gridCol w:w="921"/>
      </w:tblGrid>
      <w:tr w:rsidR="001D6D2F" w14:paraId="316B451B" w14:textId="77777777" w:rsidTr="00E23143">
        <w:tc>
          <w:tcPr>
            <w:tcW w:w="656" w:type="dxa"/>
            <w:tcBorders>
              <w:bottom w:val="single" w:sz="4" w:space="0" w:color="FFFFFF" w:themeColor="background1"/>
              <w:right w:val="single" w:sz="4" w:space="0" w:color="FFFFFF" w:themeColor="background1"/>
            </w:tcBorders>
            <w:shd w:val="clear" w:color="auto" w:fill="012169"/>
          </w:tcPr>
          <w:p w14:paraId="74E6B8FB" w14:textId="6C09D2B0" w:rsidR="001D6D2F" w:rsidRPr="00B6750B" w:rsidRDefault="001D6D2F" w:rsidP="00E23143">
            <w:pPr>
              <w:pStyle w:val="Tabletext"/>
            </w:pPr>
          </w:p>
        </w:tc>
        <w:tc>
          <w:tcPr>
            <w:tcW w:w="2174" w:type="dxa"/>
            <w:tcBorders>
              <w:left w:val="single" w:sz="4" w:space="0" w:color="FFFFFF" w:themeColor="background1"/>
              <w:right w:val="single" w:sz="4" w:space="0" w:color="FFFFFF" w:themeColor="background1"/>
            </w:tcBorders>
            <w:shd w:val="clear" w:color="auto" w:fill="012169"/>
            <w:vAlign w:val="center"/>
          </w:tcPr>
          <w:p w14:paraId="52535C82" w14:textId="572451F5" w:rsidR="001D6D2F" w:rsidRPr="00E23143" w:rsidRDefault="00BE4632" w:rsidP="00E23143">
            <w:pPr>
              <w:pStyle w:val="Tabletext"/>
              <w:jc w:val="center"/>
              <w:rPr>
                <w:b/>
              </w:rPr>
            </w:pPr>
            <w:r w:rsidRPr="00E23143">
              <w:rPr>
                <w:b/>
              </w:rPr>
              <w:t>Area of r</w:t>
            </w:r>
            <w:r w:rsidR="001D6D2F" w:rsidRPr="00E23143">
              <w:rPr>
                <w:b/>
              </w:rPr>
              <w:t>esponsibility</w:t>
            </w:r>
          </w:p>
        </w:tc>
        <w:tc>
          <w:tcPr>
            <w:tcW w:w="5265" w:type="dxa"/>
            <w:tcBorders>
              <w:left w:val="single" w:sz="4" w:space="0" w:color="FFFFFF" w:themeColor="background1"/>
              <w:right w:val="single" w:sz="4" w:space="0" w:color="FFFFFF" w:themeColor="background1"/>
            </w:tcBorders>
            <w:shd w:val="clear" w:color="auto" w:fill="012169"/>
            <w:vAlign w:val="center"/>
          </w:tcPr>
          <w:p w14:paraId="15A149E8" w14:textId="77777777" w:rsidR="00E23143" w:rsidRDefault="001D6D2F" w:rsidP="00E23143">
            <w:pPr>
              <w:pStyle w:val="Tabletext"/>
              <w:jc w:val="center"/>
              <w:rPr>
                <w:b/>
              </w:rPr>
            </w:pPr>
            <w:r w:rsidRPr="00E23143">
              <w:rPr>
                <w:b/>
              </w:rPr>
              <w:t xml:space="preserve">Description of </w:t>
            </w:r>
            <w:r w:rsidR="00B6750B" w:rsidRPr="00E23143">
              <w:rPr>
                <w:b/>
              </w:rPr>
              <w:t>r</w:t>
            </w:r>
            <w:r w:rsidRPr="00E23143">
              <w:rPr>
                <w:b/>
              </w:rPr>
              <w:t>esponsibility</w:t>
            </w:r>
            <w:r w:rsidR="00BE4632" w:rsidRPr="00E23143">
              <w:rPr>
                <w:b/>
              </w:rPr>
              <w:t xml:space="preserve">        </w:t>
            </w:r>
            <w:r w:rsidR="005D0B85" w:rsidRPr="00E23143">
              <w:rPr>
                <w:b/>
              </w:rPr>
              <w:t xml:space="preserve"> </w:t>
            </w:r>
          </w:p>
          <w:p w14:paraId="6310D3A5" w14:textId="0BD3E38E" w:rsidR="001D6D2F" w:rsidRPr="00E23143" w:rsidRDefault="005D0B85" w:rsidP="00E23143">
            <w:pPr>
              <w:pStyle w:val="Tabletext"/>
              <w:jc w:val="center"/>
              <w:rPr>
                <w:b/>
              </w:rPr>
            </w:pPr>
            <w:r w:rsidRPr="00E23143">
              <w:rPr>
                <w:b/>
              </w:rPr>
              <w:t>(subsection 37FA(1)(b)</w:t>
            </w:r>
            <w:r w:rsidR="00374401">
              <w:rPr>
                <w:b/>
              </w:rPr>
              <w:t xml:space="preserve"> of the Act</w:t>
            </w:r>
            <w:r w:rsidR="00BE4632" w:rsidRPr="00E23143">
              <w:rPr>
                <w:b/>
              </w:rPr>
              <w:t>)</w:t>
            </w:r>
          </w:p>
        </w:tc>
        <w:tc>
          <w:tcPr>
            <w:tcW w:w="921" w:type="dxa"/>
            <w:tcBorders>
              <w:left w:val="single" w:sz="4" w:space="0" w:color="FFFFFF" w:themeColor="background1"/>
            </w:tcBorders>
            <w:shd w:val="clear" w:color="auto" w:fill="012169"/>
            <w:vAlign w:val="center"/>
          </w:tcPr>
          <w:p w14:paraId="17945AC7" w14:textId="213641A1" w:rsidR="001D6D2F" w:rsidRPr="00E23143" w:rsidRDefault="005D0B85" w:rsidP="00E23143">
            <w:pPr>
              <w:pStyle w:val="Tabletext"/>
              <w:jc w:val="center"/>
              <w:rPr>
                <w:b/>
              </w:rPr>
            </w:pPr>
            <w:r w:rsidRPr="00E23143">
              <w:rPr>
                <w:b/>
              </w:rPr>
              <w:t>Joint</w:t>
            </w:r>
            <w:r w:rsidR="00E23143">
              <w:rPr>
                <w:b/>
              </w:rPr>
              <w:t xml:space="preserve"> (Y/N)</w:t>
            </w:r>
          </w:p>
        </w:tc>
      </w:tr>
      <w:tr w:rsidR="001D6D2F" w14:paraId="0CDD117F" w14:textId="77777777" w:rsidTr="00E23143">
        <w:tc>
          <w:tcPr>
            <w:tcW w:w="656" w:type="dxa"/>
            <w:tcBorders>
              <w:top w:val="single" w:sz="4" w:space="0" w:color="FFFFFF" w:themeColor="background1"/>
              <w:bottom w:val="single" w:sz="4" w:space="0" w:color="FFFFFF" w:themeColor="background1"/>
            </w:tcBorders>
            <w:shd w:val="clear" w:color="auto" w:fill="012169"/>
          </w:tcPr>
          <w:p w14:paraId="7B46FB37" w14:textId="4E959E60" w:rsidR="001D6D2F" w:rsidRPr="00E23143" w:rsidRDefault="00E23143" w:rsidP="00E23143">
            <w:pPr>
              <w:pStyle w:val="Tabletext"/>
              <w:rPr>
                <w:color w:val="FFFFFF" w:themeColor="background1"/>
              </w:rPr>
            </w:pPr>
            <w:r>
              <w:rPr>
                <w:color w:val="FFFFFF" w:themeColor="background1"/>
              </w:rPr>
              <w:t>1</w:t>
            </w:r>
          </w:p>
        </w:tc>
        <w:tc>
          <w:tcPr>
            <w:tcW w:w="2174" w:type="dxa"/>
          </w:tcPr>
          <w:p w14:paraId="6D206816" w14:textId="77777777" w:rsidR="001D6D2F" w:rsidRDefault="001D6D2F" w:rsidP="00E23143">
            <w:pPr>
              <w:pStyle w:val="Tabletext"/>
            </w:pPr>
          </w:p>
        </w:tc>
        <w:tc>
          <w:tcPr>
            <w:tcW w:w="5265" w:type="dxa"/>
          </w:tcPr>
          <w:p w14:paraId="0F45FE9E" w14:textId="77777777" w:rsidR="001D6D2F" w:rsidRDefault="001D6D2F" w:rsidP="00E23143">
            <w:pPr>
              <w:pStyle w:val="Tabletext"/>
            </w:pPr>
          </w:p>
        </w:tc>
        <w:tc>
          <w:tcPr>
            <w:tcW w:w="921" w:type="dxa"/>
          </w:tcPr>
          <w:p w14:paraId="0B45B929" w14:textId="77777777" w:rsidR="001D6D2F" w:rsidRDefault="001D6D2F" w:rsidP="00E23143">
            <w:pPr>
              <w:pStyle w:val="Tabletext"/>
            </w:pPr>
          </w:p>
        </w:tc>
      </w:tr>
      <w:tr w:rsidR="00B6750B" w14:paraId="13BA4A9E" w14:textId="77777777" w:rsidTr="00E23143">
        <w:tc>
          <w:tcPr>
            <w:tcW w:w="656" w:type="dxa"/>
            <w:tcBorders>
              <w:top w:val="single" w:sz="4" w:space="0" w:color="FFFFFF" w:themeColor="background1"/>
              <w:bottom w:val="single" w:sz="4" w:space="0" w:color="FFFFFF" w:themeColor="background1"/>
            </w:tcBorders>
            <w:shd w:val="clear" w:color="auto" w:fill="012169"/>
          </w:tcPr>
          <w:p w14:paraId="3AE446B0" w14:textId="085F4EBE" w:rsidR="00B6750B" w:rsidRPr="00E23143" w:rsidRDefault="00E23143" w:rsidP="00E23143">
            <w:pPr>
              <w:pStyle w:val="Tabletext"/>
              <w:rPr>
                <w:color w:val="FFFFFF" w:themeColor="background1"/>
              </w:rPr>
            </w:pPr>
            <w:r>
              <w:rPr>
                <w:color w:val="FFFFFF" w:themeColor="background1"/>
              </w:rPr>
              <w:t>2</w:t>
            </w:r>
          </w:p>
        </w:tc>
        <w:tc>
          <w:tcPr>
            <w:tcW w:w="2174" w:type="dxa"/>
          </w:tcPr>
          <w:p w14:paraId="6278902C" w14:textId="77777777" w:rsidR="00B6750B" w:rsidRDefault="00B6750B" w:rsidP="00E23143">
            <w:pPr>
              <w:pStyle w:val="Tabletext"/>
            </w:pPr>
          </w:p>
        </w:tc>
        <w:tc>
          <w:tcPr>
            <w:tcW w:w="5265" w:type="dxa"/>
          </w:tcPr>
          <w:p w14:paraId="463FD7B4" w14:textId="77777777" w:rsidR="00B6750B" w:rsidRDefault="00B6750B" w:rsidP="00E23143">
            <w:pPr>
              <w:pStyle w:val="Tabletext"/>
            </w:pPr>
          </w:p>
        </w:tc>
        <w:tc>
          <w:tcPr>
            <w:tcW w:w="921" w:type="dxa"/>
          </w:tcPr>
          <w:p w14:paraId="1A42E790" w14:textId="77777777" w:rsidR="00B6750B" w:rsidRDefault="00B6750B" w:rsidP="00E23143">
            <w:pPr>
              <w:pStyle w:val="Tabletext"/>
            </w:pPr>
          </w:p>
        </w:tc>
      </w:tr>
      <w:tr w:rsidR="00B6750B" w14:paraId="2494C505" w14:textId="77777777" w:rsidTr="00E23143">
        <w:tc>
          <w:tcPr>
            <w:tcW w:w="656" w:type="dxa"/>
            <w:tcBorders>
              <w:top w:val="single" w:sz="4" w:space="0" w:color="FFFFFF" w:themeColor="background1"/>
              <w:bottom w:val="single" w:sz="4" w:space="0" w:color="FFFFFF" w:themeColor="background1"/>
            </w:tcBorders>
            <w:shd w:val="clear" w:color="auto" w:fill="012169"/>
          </w:tcPr>
          <w:p w14:paraId="70FC52E4" w14:textId="3735502F" w:rsidR="00B6750B" w:rsidRPr="00E23143" w:rsidRDefault="00E23143" w:rsidP="00E23143">
            <w:pPr>
              <w:pStyle w:val="Tabletext"/>
              <w:rPr>
                <w:color w:val="FFFFFF" w:themeColor="background1"/>
              </w:rPr>
            </w:pPr>
            <w:r>
              <w:rPr>
                <w:color w:val="FFFFFF" w:themeColor="background1"/>
              </w:rPr>
              <w:t>3</w:t>
            </w:r>
          </w:p>
        </w:tc>
        <w:tc>
          <w:tcPr>
            <w:tcW w:w="2174" w:type="dxa"/>
          </w:tcPr>
          <w:p w14:paraId="1B04DC15" w14:textId="77777777" w:rsidR="00B6750B" w:rsidRDefault="00B6750B" w:rsidP="00E23143">
            <w:pPr>
              <w:pStyle w:val="Tabletext"/>
            </w:pPr>
          </w:p>
        </w:tc>
        <w:tc>
          <w:tcPr>
            <w:tcW w:w="5265" w:type="dxa"/>
          </w:tcPr>
          <w:p w14:paraId="247BD0CC" w14:textId="77777777" w:rsidR="00B6750B" w:rsidRDefault="00B6750B" w:rsidP="00E23143">
            <w:pPr>
              <w:pStyle w:val="Tabletext"/>
            </w:pPr>
          </w:p>
        </w:tc>
        <w:tc>
          <w:tcPr>
            <w:tcW w:w="921" w:type="dxa"/>
          </w:tcPr>
          <w:p w14:paraId="3D05DA4E" w14:textId="77777777" w:rsidR="00B6750B" w:rsidRDefault="00B6750B" w:rsidP="00E23143">
            <w:pPr>
              <w:pStyle w:val="Tabletext"/>
            </w:pPr>
          </w:p>
        </w:tc>
      </w:tr>
      <w:tr w:rsidR="00B6750B" w14:paraId="791ADB2A" w14:textId="77777777" w:rsidTr="00E23143">
        <w:tc>
          <w:tcPr>
            <w:tcW w:w="656" w:type="dxa"/>
            <w:tcBorders>
              <w:top w:val="single" w:sz="4" w:space="0" w:color="FFFFFF" w:themeColor="background1"/>
              <w:bottom w:val="single" w:sz="4" w:space="0" w:color="FFFFFF" w:themeColor="background1"/>
            </w:tcBorders>
            <w:shd w:val="clear" w:color="auto" w:fill="012169"/>
          </w:tcPr>
          <w:p w14:paraId="1D22C67D" w14:textId="5343459F" w:rsidR="00B6750B" w:rsidRPr="00E23143" w:rsidRDefault="00E23143" w:rsidP="00E23143">
            <w:pPr>
              <w:pStyle w:val="Tabletext"/>
              <w:rPr>
                <w:color w:val="FFFFFF" w:themeColor="background1"/>
              </w:rPr>
            </w:pPr>
            <w:r>
              <w:rPr>
                <w:color w:val="FFFFFF" w:themeColor="background1"/>
              </w:rPr>
              <w:t>4</w:t>
            </w:r>
          </w:p>
        </w:tc>
        <w:tc>
          <w:tcPr>
            <w:tcW w:w="2174" w:type="dxa"/>
          </w:tcPr>
          <w:p w14:paraId="5A256B59" w14:textId="77777777" w:rsidR="00B6750B" w:rsidRDefault="00B6750B" w:rsidP="00E23143">
            <w:pPr>
              <w:pStyle w:val="Tabletext"/>
            </w:pPr>
          </w:p>
        </w:tc>
        <w:tc>
          <w:tcPr>
            <w:tcW w:w="5265" w:type="dxa"/>
          </w:tcPr>
          <w:p w14:paraId="6894092D" w14:textId="77777777" w:rsidR="00B6750B" w:rsidRDefault="00B6750B" w:rsidP="00E23143">
            <w:pPr>
              <w:pStyle w:val="Tabletext"/>
            </w:pPr>
          </w:p>
        </w:tc>
        <w:tc>
          <w:tcPr>
            <w:tcW w:w="921" w:type="dxa"/>
          </w:tcPr>
          <w:p w14:paraId="1230E701" w14:textId="77777777" w:rsidR="00B6750B" w:rsidRDefault="00B6750B" w:rsidP="00E23143">
            <w:pPr>
              <w:pStyle w:val="Tabletext"/>
            </w:pPr>
          </w:p>
        </w:tc>
      </w:tr>
      <w:tr w:rsidR="00B6750B" w14:paraId="72110AF9" w14:textId="77777777" w:rsidTr="00E23143">
        <w:tc>
          <w:tcPr>
            <w:tcW w:w="656" w:type="dxa"/>
            <w:tcBorders>
              <w:top w:val="single" w:sz="4" w:space="0" w:color="FFFFFF" w:themeColor="background1"/>
              <w:bottom w:val="single" w:sz="4" w:space="0" w:color="FFFFFF" w:themeColor="background1"/>
            </w:tcBorders>
            <w:shd w:val="clear" w:color="auto" w:fill="012169"/>
          </w:tcPr>
          <w:p w14:paraId="469FF721" w14:textId="0FDD57D3" w:rsidR="00B6750B" w:rsidRPr="00E23143" w:rsidRDefault="00E23143" w:rsidP="00E23143">
            <w:pPr>
              <w:pStyle w:val="Tabletext"/>
              <w:rPr>
                <w:color w:val="FFFFFF" w:themeColor="background1"/>
              </w:rPr>
            </w:pPr>
            <w:r>
              <w:rPr>
                <w:color w:val="FFFFFF" w:themeColor="background1"/>
              </w:rPr>
              <w:t>5</w:t>
            </w:r>
          </w:p>
        </w:tc>
        <w:tc>
          <w:tcPr>
            <w:tcW w:w="2174" w:type="dxa"/>
          </w:tcPr>
          <w:p w14:paraId="01D87765" w14:textId="77777777" w:rsidR="00B6750B" w:rsidRDefault="00B6750B" w:rsidP="00E23143">
            <w:pPr>
              <w:pStyle w:val="Tabletext"/>
            </w:pPr>
          </w:p>
        </w:tc>
        <w:tc>
          <w:tcPr>
            <w:tcW w:w="5265" w:type="dxa"/>
          </w:tcPr>
          <w:p w14:paraId="68691F54" w14:textId="77777777" w:rsidR="00B6750B" w:rsidRDefault="00B6750B" w:rsidP="00E23143">
            <w:pPr>
              <w:pStyle w:val="Tabletext"/>
            </w:pPr>
          </w:p>
        </w:tc>
        <w:tc>
          <w:tcPr>
            <w:tcW w:w="921" w:type="dxa"/>
          </w:tcPr>
          <w:p w14:paraId="23E3B7DB" w14:textId="77777777" w:rsidR="00B6750B" w:rsidRDefault="00B6750B" w:rsidP="00E23143">
            <w:pPr>
              <w:pStyle w:val="Tabletext"/>
            </w:pPr>
          </w:p>
        </w:tc>
      </w:tr>
      <w:tr w:rsidR="00B6750B" w14:paraId="7FFFE37B" w14:textId="77777777" w:rsidTr="00E23143">
        <w:tc>
          <w:tcPr>
            <w:tcW w:w="656" w:type="dxa"/>
            <w:tcBorders>
              <w:top w:val="single" w:sz="4" w:space="0" w:color="FFFFFF" w:themeColor="background1"/>
              <w:bottom w:val="single" w:sz="4" w:space="0" w:color="FFFFFF" w:themeColor="background1"/>
            </w:tcBorders>
            <w:shd w:val="clear" w:color="auto" w:fill="012169"/>
          </w:tcPr>
          <w:p w14:paraId="38C893EB" w14:textId="22D7F696" w:rsidR="00B6750B" w:rsidRPr="00E23143" w:rsidRDefault="00E23143" w:rsidP="00E23143">
            <w:pPr>
              <w:pStyle w:val="Tabletext"/>
              <w:rPr>
                <w:color w:val="FFFFFF" w:themeColor="background1"/>
              </w:rPr>
            </w:pPr>
            <w:r>
              <w:rPr>
                <w:color w:val="FFFFFF" w:themeColor="background1"/>
              </w:rPr>
              <w:t>6</w:t>
            </w:r>
          </w:p>
        </w:tc>
        <w:tc>
          <w:tcPr>
            <w:tcW w:w="2174" w:type="dxa"/>
          </w:tcPr>
          <w:p w14:paraId="01DF7093" w14:textId="77777777" w:rsidR="00B6750B" w:rsidRDefault="00B6750B" w:rsidP="00E23143">
            <w:pPr>
              <w:pStyle w:val="Tabletext"/>
            </w:pPr>
          </w:p>
        </w:tc>
        <w:tc>
          <w:tcPr>
            <w:tcW w:w="5265" w:type="dxa"/>
          </w:tcPr>
          <w:p w14:paraId="73EE657B" w14:textId="77777777" w:rsidR="00B6750B" w:rsidRDefault="00B6750B" w:rsidP="00E23143">
            <w:pPr>
              <w:pStyle w:val="Tabletext"/>
            </w:pPr>
          </w:p>
        </w:tc>
        <w:tc>
          <w:tcPr>
            <w:tcW w:w="921" w:type="dxa"/>
          </w:tcPr>
          <w:p w14:paraId="1BB814BA" w14:textId="77777777" w:rsidR="00B6750B" w:rsidRDefault="00B6750B" w:rsidP="00E23143">
            <w:pPr>
              <w:pStyle w:val="Tabletext"/>
            </w:pPr>
          </w:p>
        </w:tc>
      </w:tr>
    </w:tbl>
    <w:p w14:paraId="2689D1DB" w14:textId="14E0F0A7" w:rsidR="00835572" w:rsidRPr="006F7E71" w:rsidRDefault="006F7E71" w:rsidP="006F7E71">
      <w:pPr>
        <w:spacing w:before="120"/>
        <w:rPr>
          <w:i/>
        </w:rPr>
      </w:pPr>
      <w:r>
        <w:t>[</w:t>
      </w:r>
      <w:r w:rsidR="001F75BB" w:rsidRPr="00194E9D">
        <w:rPr>
          <w:i/>
        </w:rPr>
        <w:t>Tailor</w:t>
      </w:r>
      <w:r w:rsidR="001F75BB">
        <w:rPr>
          <w:i/>
        </w:rPr>
        <w:t xml:space="preserve"> the </w:t>
      </w:r>
      <w:r>
        <w:rPr>
          <w:i/>
        </w:rPr>
        <w:t>number of rows in the table as required.</w:t>
      </w:r>
      <w:r>
        <w:t>]</w:t>
      </w:r>
    </w:p>
    <w:p w14:paraId="7351D123" w14:textId="77777777" w:rsidR="00835572" w:rsidRDefault="00835572">
      <w:pPr>
        <w:spacing w:after="120" w:line="288" w:lineRule="auto"/>
        <w:jc w:val="left"/>
      </w:pPr>
      <w:r>
        <w:br w:type="page"/>
      </w:r>
    </w:p>
    <w:p w14:paraId="15C2971C" w14:textId="6D90D381" w:rsidR="00821E4B" w:rsidRPr="007B1949" w:rsidRDefault="00821E4B" w:rsidP="007B1949">
      <w:pPr>
        <w:jc w:val="left"/>
        <w:rPr>
          <w:b/>
        </w:rPr>
      </w:pPr>
      <w:r w:rsidRPr="007B1949">
        <w:rPr>
          <w:b/>
        </w:rPr>
        <w:t xml:space="preserve">Section 3: </w:t>
      </w:r>
      <w:r w:rsidR="00BF3AAB">
        <w:rPr>
          <w:b/>
        </w:rPr>
        <w:t xml:space="preserve">Limitations and </w:t>
      </w:r>
      <w:r w:rsidR="008B3D9E">
        <w:rPr>
          <w:b/>
        </w:rPr>
        <w:t>e</w:t>
      </w:r>
      <w:r w:rsidRPr="007B1949">
        <w:rPr>
          <w:b/>
        </w:rPr>
        <w:t>xclusions</w:t>
      </w:r>
    </w:p>
    <w:p w14:paraId="1AB00557" w14:textId="2D1D97BB" w:rsidR="00821E4B" w:rsidRDefault="00821E4B">
      <w:pPr>
        <w:spacing w:after="120" w:line="288" w:lineRule="auto"/>
        <w:jc w:val="left"/>
      </w:pPr>
      <w:r>
        <w:t>[</w:t>
      </w:r>
      <w:r w:rsidR="00F97AA4" w:rsidRPr="000F19EB">
        <w:rPr>
          <w:i/>
        </w:rPr>
        <w:t>INSERT</w:t>
      </w:r>
      <w:r w:rsidR="008529F0">
        <w:t>]</w:t>
      </w:r>
    </w:p>
    <w:p w14:paraId="31AE59B4" w14:textId="77777777" w:rsidR="00BE4632" w:rsidRDefault="00BE4632">
      <w:pPr>
        <w:spacing w:after="120" w:line="288" w:lineRule="auto"/>
        <w:jc w:val="left"/>
      </w:pPr>
    </w:p>
    <w:p w14:paraId="79380AA8" w14:textId="77777777" w:rsidR="00E23143" w:rsidRDefault="00E23143">
      <w:pPr>
        <w:spacing w:after="120" w:line="288" w:lineRule="auto"/>
        <w:jc w:val="left"/>
      </w:pPr>
    </w:p>
    <w:p w14:paraId="4F316C48" w14:textId="77777777" w:rsidR="00374401" w:rsidRDefault="00374401">
      <w:pPr>
        <w:spacing w:after="120" w:line="288" w:lineRule="auto"/>
        <w:jc w:val="left"/>
      </w:pPr>
    </w:p>
    <w:p w14:paraId="5B8B9B2D" w14:textId="7555D778" w:rsidR="00314D0F" w:rsidRPr="00B6750B" w:rsidRDefault="00835572" w:rsidP="00E23143">
      <w:pPr>
        <w:spacing w:after="120" w:line="288" w:lineRule="auto"/>
        <w:jc w:val="left"/>
        <w:rPr>
          <w:b/>
        </w:rPr>
      </w:pPr>
      <w:r w:rsidRPr="00B6750B">
        <w:rPr>
          <w:b/>
        </w:rPr>
        <w:t xml:space="preserve">Section </w:t>
      </w:r>
      <w:r w:rsidR="00821E4B">
        <w:rPr>
          <w:b/>
        </w:rPr>
        <w:t>4</w:t>
      </w:r>
      <w:r w:rsidRPr="00B6750B">
        <w:rPr>
          <w:b/>
        </w:rPr>
        <w:t xml:space="preserve">: </w:t>
      </w:r>
      <w:r w:rsidR="00E514D0">
        <w:rPr>
          <w:b/>
        </w:rPr>
        <w:t>Acknowledgement</w:t>
      </w:r>
    </w:p>
    <w:p w14:paraId="5A110EBC" w14:textId="088E9B49" w:rsidR="00835572" w:rsidRDefault="00835572" w:rsidP="00B531B4">
      <w:r>
        <w:t xml:space="preserve">I, </w:t>
      </w:r>
      <w:r w:rsidRPr="00DB376F">
        <w:rPr>
          <w:b/>
        </w:rPr>
        <w:t>[</w:t>
      </w:r>
      <w:r w:rsidR="00851908">
        <w:rPr>
          <w:b/>
        </w:rPr>
        <w:t xml:space="preserve">INSERT </w:t>
      </w:r>
      <w:r w:rsidRPr="00DB376F">
        <w:rPr>
          <w:b/>
        </w:rPr>
        <w:t>NAME]</w:t>
      </w:r>
      <w:r>
        <w:t xml:space="preserve">, </w:t>
      </w:r>
      <w:r w:rsidR="00E514D0">
        <w:t>acknowledge</w:t>
      </w:r>
      <w:r>
        <w:t xml:space="preserve"> that I have read, understood and accept: </w:t>
      </w:r>
    </w:p>
    <w:p w14:paraId="65E2F58A" w14:textId="02B5C6FC" w:rsidR="00835572" w:rsidRDefault="00C03764" w:rsidP="00ED36C8">
      <w:pPr>
        <w:pStyle w:val="ListParagraph"/>
        <w:numPr>
          <w:ilvl w:val="0"/>
          <w:numId w:val="17"/>
        </w:numPr>
        <w:spacing w:after="120"/>
        <w:ind w:hanging="357"/>
        <w:contextualSpacing w:val="0"/>
      </w:pPr>
      <w:r>
        <w:t>t</w:t>
      </w:r>
      <w:r w:rsidR="00835572">
        <w:t>he areas of accountabilities included in my accountability statement; and</w:t>
      </w:r>
    </w:p>
    <w:p w14:paraId="26C8BE4A" w14:textId="129F518B" w:rsidR="00D932A5" w:rsidRDefault="00C03764" w:rsidP="00ED36C8">
      <w:pPr>
        <w:pStyle w:val="ListParagraph"/>
        <w:numPr>
          <w:ilvl w:val="0"/>
          <w:numId w:val="17"/>
        </w:numPr>
        <w:spacing w:after="120"/>
        <w:ind w:hanging="357"/>
        <w:contextualSpacing w:val="0"/>
      </w:pPr>
      <w:r>
        <w:t>m</w:t>
      </w:r>
      <w:r w:rsidR="00835572">
        <w:t xml:space="preserve">y obligations as an accountable person under </w:t>
      </w:r>
      <w:r w:rsidR="00D932A5">
        <w:t>sub</w:t>
      </w:r>
      <w:r w:rsidR="00835572">
        <w:t>section 37CA</w:t>
      </w:r>
      <w:r w:rsidR="00D932A5">
        <w:t>(1)</w:t>
      </w:r>
      <w:r w:rsidR="00835572">
        <w:t xml:space="preserve"> of the </w:t>
      </w:r>
      <w:r w:rsidR="00835572">
        <w:rPr>
          <w:i/>
        </w:rPr>
        <w:t>Banking Act 1959</w:t>
      </w:r>
      <w:r w:rsidR="004F5AE6" w:rsidRPr="00ED36C8">
        <w:t xml:space="preserve"> are</w:t>
      </w:r>
      <w:r w:rsidR="004F5AE6">
        <w:t xml:space="preserve"> to conduct the responsibilities of my position as an accountable person:</w:t>
      </w:r>
    </w:p>
    <w:p w14:paraId="1DE6BD52" w14:textId="77777777" w:rsidR="00D932A5" w:rsidRDefault="00D932A5" w:rsidP="00ED36C8">
      <w:pPr>
        <w:pStyle w:val="ListParagraph"/>
        <w:numPr>
          <w:ilvl w:val="1"/>
          <w:numId w:val="17"/>
        </w:numPr>
        <w:spacing w:after="120"/>
        <w:ind w:hanging="357"/>
        <w:contextualSpacing w:val="0"/>
      </w:pPr>
      <w:r w:rsidRPr="00D932A5">
        <w:t>by acting with honesty and integrity, and with due skill, care and diligence; and</w:t>
      </w:r>
    </w:p>
    <w:p w14:paraId="47F19314" w14:textId="77777777" w:rsidR="00D932A5" w:rsidRDefault="00D932A5" w:rsidP="00ED36C8">
      <w:pPr>
        <w:pStyle w:val="ListParagraph"/>
        <w:numPr>
          <w:ilvl w:val="1"/>
          <w:numId w:val="17"/>
        </w:numPr>
        <w:spacing w:after="120"/>
        <w:ind w:hanging="357"/>
        <w:contextualSpacing w:val="0"/>
      </w:pPr>
      <w:r w:rsidRPr="00D932A5">
        <w:t>by dealing with APRA in an open, constructive and cooperative way; and</w:t>
      </w:r>
    </w:p>
    <w:p w14:paraId="51E3B94E" w14:textId="6B76FB3D" w:rsidR="00835572" w:rsidRPr="004F5AE6" w:rsidRDefault="00D932A5" w:rsidP="00ED36C8">
      <w:pPr>
        <w:pStyle w:val="ListParagraph"/>
        <w:numPr>
          <w:ilvl w:val="1"/>
          <w:numId w:val="17"/>
        </w:numPr>
        <w:spacing w:after="120"/>
        <w:ind w:hanging="357"/>
        <w:contextualSpacing w:val="0"/>
      </w:pPr>
      <w:r w:rsidRPr="00D932A5">
        <w:t xml:space="preserve">by taking reasonable steps in conducting those responsibilities to prevent matters from arising that would adversely affect the prudential standing or prudential reputation of </w:t>
      </w:r>
      <w:r w:rsidRPr="005140BD">
        <w:rPr>
          <w:b/>
        </w:rPr>
        <w:t>[INSERT NAME OF ADI]</w:t>
      </w:r>
      <w:r w:rsidR="00835572" w:rsidRPr="004F5AE6">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835572" w14:paraId="6DBEA1FD" w14:textId="77777777" w:rsidTr="00835572">
        <w:tc>
          <w:tcPr>
            <w:tcW w:w="2254" w:type="dxa"/>
            <w:tcBorders>
              <w:bottom w:val="single" w:sz="4" w:space="0" w:color="auto"/>
            </w:tcBorders>
          </w:tcPr>
          <w:p w14:paraId="77925EDD" w14:textId="77777777" w:rsidR="00835572" w:rsidRDefault="00835572" w:rsidP="00835572"/>
          <w:p w14:paraId="557565D3" w14:textId="77777777" w:rsidR="00E514D0" w:rsidRDefault="00E514D0" w:rsidP="00835572"/>
        </w:tc>
        <w:tc>
          <w:tcPr>
            <w:tcW w:w="2254" w:type="dxa"/>
          </w:tcPr>
          <w:p w14:paraId="13D037E1" w14:textId="77777777" w:rsidR="00835572" w:rsidRDefault="00835572" w:rsidP="00835572"/>
        </w:tc>
        <w:tc>
          <w:tcPr>
            <w:tcW w:w="2254" w:type="dxa"/>
            <w:tcBorders>
              <w:bottom w:val="single" w:sz="4" w:space="0" w:color="auto"/>
            </w:tcBorders>
          </w:tcPr>
          <w:p w14:paraId="35FC7F9E" w14:textId="77777777" w:rsidR="00835572" w:rsidRDefault="00835572" w:rsidP="00835572"/>
        </w:tc>
        <w:tc>
          <w:tcPr>
            <w:tcW w:w="2254" w:type="dxa"/>
          </w:tcPr>
          <w:p w14:paraId="32B891D0" w14:textId="77777777" w:rsidR="00835572" w:rsidRDefault="00835572" w:rsidP="00835572"/>
        </w:tc>
      </w:tr>
      <w:tr w:rsidR="00835572" w14:paraId="7EBDD60D" w14:textId="77777777" w:rsidTr="00835572">
        <w:tc>
          <w:tcPr>
            <w:tcW w:w="2254" w:type="dxa"/>
            <w:tcBorders>
              <w:top w:val="single" w:sz="4" w:space="0" w:color="auto"/>
            </w:tcBorders>
          </w:tcPr>
          <w:p w14:paraId="4559676A" w14:textId="52614E1C" w:rsidR="00835572" w:rsidRDefault="00835572" w:rsidP="00835572">
            <w:pPr>
              <w:spacing w:before="240"/>
            </w:pPr>
            <w:r>
              <w:t>Signature</w:t>
            </w:r>
          </w:p>
        </w:tc>
        <w:tc>
          <w:tcPr>
            <w:tcW w:w="2254" w:type="dxa"/>
          </w:tcPr>
          <w:p w14:paraId="11E114C5" w14:textId="77777777" w:rsidR="00835572" w:rsidRDefault="00835572" w:rsidP="00835572"/>
        </w:tc>
        <w:tc>
          <w:tcPr>
            <w:tcW w:w="2254" w:type="dxa"/>
            <w:tcBorders>
              <w:top w:val="single" w:sz="4" w:space="0" w:color="auto"/>
            </w:tcBorders>
          </w:tcPr>
          <w:p w14:paraId="02E67315" w14:textId="055AD652" w:rsidR="00835572" w:rsidRDefault="00835572" w:rsidP="00835572">
            <w:pPr>
              <w:spacing w:before="240"/>
            </w:pPr>
            <w:r>
              <w:t>Date</w:t>
            </w:r>
          </w:p>
        </w:tc>
        <w:tc>
          <w:tcPr>
            <w:tcW w:w="2254" w:type="dxa"/>
          </w:tcPr>
          <w:p w14:paraId="5DD991DE" w14:textId="77777777" w:rsidR="00835572" w:rsidRDefault="00835572" w:rsidP="00835572"/>
        </w:tc>
      </w:tr>
    </w:tbl>
    <w:p w14:paraId="117A7EB7" w14:textId="7AA98B3F" w:rsidR="00A22ED3" w:rsidRDefault="00A22ED3" w:rsidP="00835572"/>
    <w:p w14:paraId="554FE633" w14:textId="77777777" w:rsidR="00A22ED3" w:rsidRDefault="00A22ED3">
      <w:pPr>
        <w:spacing w:after="120" w:line="288" w:lineRule="auto"/>
        <w:jc w:val="left"/>
      </w:pPr>
      <w:r>
        <w:br w:type="page"/>
      </w:r>
    </w:p>
    <w:p w14:paraId="3EF395B6" w14:textId="2F9DC468" w:rsidR="00A22ED3" w:rsidRDefault="00A22ED3" w:rsidP="00A22ED3">
      <w:pPr>
        <w:pStyle w:val="LetterCAPSTitle"/>
      </w:pPr>
      <w:r>
        <w:t xml:space="preserve">Attachment A: </w:t>
      </w:r>
      <w:r w:rsidRPr="001107B6">
        <w:t xml:space="preserve">Banking Executive Accountability Regime </w:t>
      </w:r>
      <w:r>
        <w:t xml:space="preserve">– guidance to complete Accountability statement template </w:t>
      </w:r>
    </w:p>
    <w:p w14:paraId="098794D7" w14:textId="01829B22" w:rsidR="00794D86" w:rsidRDefault="00C67AEE" w:rsidP="00794D86">
      <w:r w:rsidRPr="00C67AEE">
        <w:t xml:space="preserve">As per subsection 37FA(1) of the </w:t>
      </w:r>
      <w:r w:rsidRPr="00C67AEE">
        <w:rPr>
          <w:i/>
        </w:rPr>
        <w:t>Banking Act 1959</w:t>
      </w:r>
      <w:r w:rsidRPr="00C67AEE">
        <w:t xml:space="preserve"> (the Act), APRA expects an accountability statement to outline the part(s) or aspect(s) of the </w:t>
      </w:r>
      <w:r w:rsidR="00BE50BE">
        <w:t xml:space="preserve">ADI’s or </w:t>
      </w:r>
      <w:r w:rsidRPr="00C67AEE">
        <w:t xml:space="preserve">ADI group’s operations over which an accountable person has actual or effective management or control, and the responsibilities of the accountable person. In doing so, the statement should describe the actions, decisions and outcomes for which the individual is accountable with respect to those part(s) or aspect(s) of the </w:t>
      </w:r>
      <w:r w:rsidR="00BE50BE">
        <w:t xml:space="preserve">ADI’s or </w:t>
      </w:r>
      <w:r w:rsidRPr="00C67AEE">
        <w:t xml:space="preserve">ADI group’s operations. </w:t>
      </w:r>
    </w:p>
    <w:p w14:paraId="703A836B" w14:textId="55921D0F" w:rsidR="00342C54" w:rsidRDefault="00574C8C" w:rsidP="00342C54">
      <w:r>
        <w:t>A</w:t>
      </w:r>
      <w:r w:rsidR="00342C54">
        <w:t xml:space="preserve">n individual’s accountability statement </w:t>
      </w:r>
      <w:r w:rsidR="00F46E96">
        <w:t>should</w:t>
      </w:r>
      <w:r w:rsidR="00342C54">
        <w:t xml:space="preserve"> be updated over time</w:t>
      </w:r>
      <w:r w:rsidR="00F46E96">
        <w:t xml:space="preserve"> if needed to reflect changes in responsibilities.</w:t>
      </w:r>
      <w:r>
        <w:t xml:space="preserve"> </w:t>
      </w:r>
      <w:r w:rsidR="00F46E96">
        <w:t>T</w:t>
      </w:r>
      <w:r w:rsidR="00342C54">
        <w:t xml:space="preserve">he accountability statement template includes a field to provide the date the statement was last updated. </w:t>
      </w:r>
      <w:r>
        <w:t xml:space="preserve">This </w:t>
      </w:r>
      <w:r w:rsidR="007F083D">
        <w:t xml:space="preserve">effective </w:t>
      </w:r>
      <w:r>
        <w:t xml:space="preserve">date </w:t>
      </w:r>
      <w:r w:rsidR="007F083D">
        <w:t xml:space="preserve">for each version of the statement </w:t>
      </w:r>
      <w:r>
        <w:t>should be</w:t>
      </w:r>
      <w:r w:rsidR="00342C54">
        <w:t xml:space="preserve"> consistent with other relevant documentation such as the accompanying registration form and accountability map.</w:t>
      </w:r>
    </w:p>
    <w:p w14:paraId="6428C71A" w14:textId="56F5E7BD" w:rsidR="00342C54" w:rsidRDefault="009F53D1" w:rsidP="00342C54">
      <w:r>
        <w:t>T</w:t>
      </w:r>
      <w:r w:rsidR="00342C54" w:rsidRPr="00A44B50">
        <w:t>he</w:t>
      </w:r>
      <w:r w:rsidR="00342C54">
        <w:t xml:space="preserve"> responsibilities of an accountable person </w:t>
      </w:r>
      <w:r w:rsidR="00342C54" w:rsidRPr="00A44B50">
        <w:t>apply on an ongoing basis</w:t>
      </w:r>
      <w:r w:rsidR="00342C54">
        <w:t xml:space="preserve"> and an accountability statement is considered effective until those responsibilities change, at which time the ADI is required to notify APRA of the change to the accountability statement within 14 days. </w:t>
      </w:r>
      <w:r w:rsidR="00342C54" w:rsidRPr="00433D77">
        <w:t xml:space="preserve">ADIs should establish an internal process to keep accountability statements </w:t>
      </w:r>
      <w:r w:rsidR="00342C54">
        <w:t>current</w:t>
      </w:r>
      <w:r w:rsidR="007F083D">
        <w:t xml:space="preserve"> and to notify APRA promptly when individuals cease to act in a </w:t>
      </w:r>
      <w:r w:rsidR="00044AB5">
        <w:t>specific</w:t>
      </w:r>
      <w:r w:rsidR="007F083D">
        <w:t xml:space="preserve"> role.</w:t>
      </w:r>
    </w:p>
    <w:p w14:paraId="653162C7" w14:textId="03B92F22" w:rsidR="00E976FF" w:rsidRDefault="00C67AEE" w:rsidP="00E976FF">
      <w:pPr>
        <w:pStyle w:val="Heading4"/>
      </w:pPr>
      <w:r w:rsidRPr="00E45B9B">
        <w:t>Section 1: Accountable person details</w:t>
      </w:r>
    </w:p>
    <w:p w14:paraId="4DD5CD6F" w14:textId="7EADECD8" w:rsidR="00E976FF" w:rsidRDefault="00CE6E54" w:rsidP="00835572">
      <w:r>
        <w:t xml:space="preserve">In </w:t>
      </w:r>
      <w:r w:rsidR="00E976FF">
        <w:t>Section 1</w:t>
      </w:r>
      <w:r w:rsidR="00F46E96">
        <w:t>,</w:t>
      </w:r>
      <w:r>
        <w:t xml:space="preserve"> provide</w:t>
      </w:r>
      <w:r w:rsidR="00E976FF">
        <w:t xml:space="preserve"> key details about the</w:t>
      </w:r>
      <w:r w:rsidR="00053224">
        <w:t xml:space="preserve"> individual accountable person. </w:t>
      </w:r>
      <w:r w:rsidR="00F46E96">
        <w:t>I</w:t>
      </w:r>
      <w:r w:rsidR="00053224">
        <w:t>ndicate whether the individual is an accountable person under the general principle (subsection 37BA</w:t>
      </w:r>
      <w:r w:rsidR="00B32AC0">
        <w:t>(1)</w:t>
      </w:r>
      <w:r w:rsidR="00053224">
        <w:t xml:space="preserve"> of the Act) and also </w:t>
      </w:r>
      <w:r w:rsidR="00E976FF">
        <w:t xml:space="preserve">specify any particular responsibilities held under subsection 37BA(2) or 37BA(6) of the Act. </w:t>
      </w:r>
    </w:p>
    <w:p w14:paraId="24DB5765" w14:textId="2C0F8BFD" w:rsidR="00C67AEE" w:rsidRDefault="00C67AEE" w:rsidP="00E976FF">
      <w:pPr>
        <w:pStyle w:val="Heading4"/>
      </w:pPr>
      <w:r w:rsidRPr="00B6750B">
        <w:t>Section 2: Responsibilities of the accountable person</w:t>
      </w:r>
    </w:p>
    <w:p w14:paraId="5FD90B7D" w14:textId="25328EC2" w:rsidR="00B32AC0" w:rsidRDefault="00B32AC0" w:rsidP="00053224">
      <w:r>
        <w:t>In Section 2</w:t>
      </w:r>
      <w:r w:rsidR="00F46E96">
        <w:t>,</w:t>
      </w:r>
      <w:r>
        <w:t xml:space="preserve"> describe the p</w:t>
      </w:r>
      <w:r w:rsidRPr="00B32AC0">
        <w:t>art or aspect of the ADI’s or subsidiary’s operations of which the accountable person has actual or effective responsibility for management or control (subsection 37FA(1)(a) of the Ac</w:t>
      </w:r>
      <w:r>
        <w:t>t</w:t>
      </w:r>
      <w:r w:rsidR="001A7371">
        <w:t>)</w:t>
      </w:r>
      <w:r>
        <w:t>.</w:t>
      </w:r>
    </w:p>
    <w:p w14:paraId="400CFD05" w14:textId="289106E2" w:rsidR="00053224" w:rsidRPr="00053224" w:rsidRDefault="00B32AC0" w:rsidP="00053224">
      <w:r>
        <w:t xml:space="preserve">Using the table provided, </w:t>
      </w:r>
      <w:r w:rsidR="0018719B">
        <w:t xml:space="preserve">clearly articulate for each area of responsibility of an accountable person, the accountable person’s responsibilities, including the outcome expected in relation to each responsibility. </w:t>
      </w:r>
      <w:r w:rsidR="006B24AC" w:rsidRPr="006B24AC">
        <w:t>Where any responsibility is held jointly by multiple individuals, this should be clearly set out as a joint responsibility on the accountability statement of each relevant individual.</w:t>
      </w:r>
    </w:p>
    <w:p w14:paraId="0A7067E7" w14:textId="39BAE85F" w:rsidR="0018719B" w:rsidRDefault="00083E3E" w:rsidP="00083E3E">
      <w:r w:rsidRPr="00C67AEE">
        <w:t xml:space="preserve">In compiling an accountability statement, </w:t>
      </w:r>
      <w:r w:rsidR="00F46E96">
        <w:t>APRA encourages</w:t>
      </w:r>
      <w:r w:rsidRPr="00C67AEE">
        <w:t xml:space="preserve"> ADI</w:t>
      </w:r>
      <w:r w:rsidR="00F46E96">
        <w:t>s</w:t>
      </w:r>
      <w:r w:rsidR="00194E9D">
        <w:t xml:space="preserve"> to </w:t>
      </w:r>
      <w:r w:rsidRPr="00C67AEE">
        <w:t xml:space="preserve">focus on key functions and </w:t>
      </w:r>
      <w:r w:rsidR="00BC03D4">
        <w:t>the expected outcome</w:t>
      </w:r>
      <w:r w:rsidRPr="00C67AEE">
        <w:t xml:space="preserve"> in performing those functions. </w:t>
      </w:r>
      <w:r w:rsidR="00194E9D">
        <w:t>APRA expects p</w:t>
      </w:r>
      <w:r w:rsidRPr="00C67AEE">
        <w:t xml:space="preserve">articular attention </w:t>
      </w:r>
      <w:r w:rsidR="00194E9D">
        <w:t xml:space="preserve">to </w:t>
      </w:r>
      <w:r w:rsidRPr="00C67AEE">
        <w:t xml:space="preserve">be given to the allocation of key functions of prudential significance, including accountability for the management of prudential risks with respect to those responsibilities. </w:t>
      </w:r>
    </w:p>
    <w:p w14:paraId="76BFB9F3" w14:textId="64237157" w:rsidR="000B0728" w:rsidRDefault="00083E3E" w:rsidP="0018719B">
      <w:r w:rsidRPr="00C67AEE">
        <w:t xml:space="preserve">APRA has developed </w:t>
      </w:r>
      <w:r w:rsidR="00DE5F9D">
        <w:t xml:space="preserve">a </w:t>
      </w:r>
      <w:r w:rsidRPr="00C67AEE">
        <w:t>list of key functions for ADIs to consider when developing accountability statements</w:t>
      </w:r>
      <w:r w:rsidR="0018719B">
        <w:t xml:space="preserve"> as set out </w:t>
      </w:r>
      <w:r w:rsidR="00B32AC0">
        <w:t xml:space="preserve">below </w:t>
      </w:r>
      <w:r w:rsidR="0018719B">
        <w:t>in Figure 1. This is a non-exhaustive list that should serve as a prompt for consideration when devel</w:t>
      </w:r>
      <w:r w:rsidR="00785B6A">
        <w:t>oping accountability statements</w:t>
      </w:r>
      <w:r w:rsidR="0018719B">
        <w:t xml:space="preserve"> but should not be considered as a check-list. While key functions are listed by particular responsibility, accountability statements should reflect actual practice and understanding of where accountability </w:t>
      </w:r>
      <w:r w:rsidR="0063796F">
        <w:t>rests</w:t>
      </w:r>
      <w:r w:rsidR="0018719B">
        <w:t xml:space="preserve"> and therefore may be more appropriate under a different particular responsibility than </w:t>
      </w:r>
      <w:r w:rsidR="0068245A">
        <w:t>as</w:t>
      </w:r>
      <w:r w:rsidR="0018719B">
        <w:t xml:space="preserve"> listed in the below table. </w:t>
      </w:r>
      <w:r w:rsidR="00037AB7">
        <w:t>For example, for a particular ADI, the senior executive who has the responsibility for o</w:t>
      </w:r>
      <w:r w:rsidR="00037AB7" w:rsidRPr="00037AB7">
        <w:t>verall risk controls and risk management of the ADI</w:t>
      </w:r>
      <w:r w:rsidR="00037AB7">
        <w:t xml:space="preserve"> may be responsible for stress testing rather </w:t>
      </w:r>
      <w:r w:rsidR="00785B6A">
        <w:t xml:space="preserve">than </w:t>
      </w:r>
      <w:r w:rsidR="00037AB7">
        <w:t>the senior executive who has the responsibility for the management of f</w:t>
      </w:r>
      <w:r w:rsidR="00037AB7" w:rsidRPr="00037AB7">
        <w:t>inancial resources of the ADI</w:t>
      </w:r>
      <w:r w:rsidR="00037AB7">
        <w:t xml:space="preserve"> as suggested in Figure 1.</w:t>
      </w:r>
    </w:p>
    <w:p w14:paraId="54E8E7CD" w14:textId="31CEF370" w:rsidR="00024892" w:rsidRDefault="00024892" w:rsidP="00024892">
      <w:r>
        <w:t>A number of key functions can, and in many cases should, appear on multiple statements in relation to a different action or expected outcome for which an individual is accountable as a result of the individual’s role.</w:t>
      </w:r>
      <w:r w:rsidRPr="00DF3FC5">
        <w:t xml:space="preserve"> </w:t>
      </w:r>
      <w:r>
        <w:t>For example, in relation to risk appetite, the board of an ADI approves the risk appetite statement. The Chief Executive Officer may be accountable for ensuring that the ADI as a whole operates within the board</w:t>
      </w:r>
      <w:r>
        <w:noBreakHyphen/>
        <w:t>approved risk appetite. The</w:t>
      </w:r>
      <w:r w:rsidDel="004B4C81">
        <w:t xml:space="preserve"> </w:t>
      </w:r>
      <w:r>
        <w:t>Chief Risk Officer may be accountable for</w:t>
      </w:r>
      <w:r w:rsidDel="004B4C81">
        <w:t xml:space="preserve"> </w:t>
      </w:r>
      <w:r>
        <w:t>monitoring of</w:t>
      </w:r>
      <w:r w:rsidR="00BE50BE">
        <w:t>,</w:t>
      </w:r>
      <w:r>
        <w:t xml:space="preserve"> and reporting on</w:t>
      </w:r>
      <w:r w:rsidR="00BE50BE">
        <w:t>,</w:t>
      </w:r>
      <w:r>
        <w:t xml:space="preserve"> actual risk profiles against the board-approved risk appetite.</w:t>
      </w:r>
      <w:r w:rsidRPr="002051B5">
        <w:t xml:space="preserve"> The Head of Internal Audit may be </w:t>
      </w:r>
      <w:r>
        <w:t xml:space="preserve">accountable </w:t>
      </w:r>
      <w:r w:rsidRPr="002051B5">
        <w:t>for conducting independent review on the controls put in place by business to ensure alignment with the board-approved risk appetite</w:t>
      </w:r>
      <w:r>
        <w:t xml:space="preserve">. </w:t>
      </w:r>
    </w:p>
    <w:p w14:paraId="0611901F" w14:textId="6E29C37A" w:rsidR="00024892" w:rsidRDefault="00024892" w:rsidP="00F065E8">
      <w:pPr>
        <w:spacing w:after="120"/>
      </w:pPr>
      <w:r>
        <w:t xml:space="preserve">An institution </w:t>
      </w:r>
      <w:r w:rsidR="00194E9D">
        <w:t xml:space="preserve">is encouraged to </w:t>
      </w:r>
      <w:r>
        <w:t xml:space="preserve">carefully consider the wording of the </w:t>
      </w:r>
      <w:r w:rsidR="00E4629A" w:rsidRPr="00E4629A">
        <w:t>role’s key accountabilities</w:t>
      </w:r>
      <w:r>
        <w:t xml:space="preserve"> in relation to any key function</w:t>
      </w:r>
      <w:r w:rsidR="00194E9D">
        <w:t>, avoiding</w:t>
      </w:r>
      <w:r>
        <w:t xml:space="preserve"> </w:t>
      </w:r>
      <w:r w:rsidR="00194E9D">
        <w:t>n</w:t>
      </w:r>
      <w:r>
        <w:t xml:space="preserve">on-specific language </w:t>
      </w:r>
      <w:r w:rsidR="00E4629A" w:rsidRPr="00E4629A">
        <w:t>while expanding upon</w:t>
      </w:r>
      <w:r w:rsidR="00194E9D">
        <w:t xml:space="preserve"> </w:t>
      </w:r>
      <w:r>
        <w:t xml:space="preserve">generic terms such as </w:t>
      </w:r>
      <w:r w:rsidR="0063796F">
        <w:t>‘</w:t>
      </w:r>
      <w:r>
        <w:t>manage</w:t>
      </w:r>
      <w:r w:rsidR="0063796F">
        <w:t>’</w:t>
      </w:r>
      <w:r>
        <w:t xml:space="preserve"> or </w:t>
      </w:r>
      <w:r w:rsidR="0063796F">
        <w:t>‘</w:t>
      </w:r>
      <w:r>
        <w:t>oversee</w:t>
      </w:r>
      <w:r w:rsidR="0063796F">
        <w:t>’</w:t>
      </w:r>
      <w:r>
        <w:t xml:space="preserve"> in </w:t>
      </w:r>
      <w:r w:rsidR="00E4629A" w:rsidRPr="00E4629A">
        <w:t xml:space="preserve">sufficient </w:t>
      </w:r>
      <w:r>
        <w:t>detail</w:t>
      </w:r>
      <w:r w:rsidR="00E4629A" w:rsidRPr="00E4629A">
        <w:t xml:space="preserve"> to properly describe the accountabilities</w:t>
      </w:r>
      <w:r>
        <w:t xml:space="preserve">. An expected outcome may be </w:t>
      </w:r>
      <w:r w:rsidR="0063796F">
        <w:t xml:space="preserve">usefully </w:t>
      </w:r>
      <w:r>
        <w:t xml:space="preserve">described by </w:t>
      </w:r>
      <w:r w:rsidR="0063796F">
        <w:t xml:space="preserve">specific action-oriented </w:t>
      </w:r>
      <w:r>
        <w:t>terms including, but</w:t>
      </w:r>
      <w:r w:rsidDel="007440A4">
        <w:t xml:space="preserve"> </w:t>
      </w:r>
      <w:r>
        <w:t xml:space="preserve">not limited to: </w:t>
      </w:r>
    </w:p>
    <w:p w14:paraId="053D7AE5" w14:textId="537DECEB" w:rsidR="00981C89" w:rsidRDefault="00981C89" w:rsidP="00F065E8">
      <w:pPr>
        <w:pStyle w:val="BULLET1"/>
        <w:spacing w:after="0"/>
      </w:pPr>
      <w:r>
        <w:t>d</w:t>
      </w:r>
      <w:r w:rsidR="000B0728" w:rsidRPr="00C67AEE">
        <w:t>elivering</w:t>
      </w:r>
      <w:r>
        <w:t>;</w:t>
      </w:r>
    </w:p>
    <w:p w14:paraId="1600287D" w14:textId="20F6CD96" w:rsidR="00981C89" w:rsidRDefault="00B0517A" w:rsidP="00F065E8">
      <w:pPr>
        <w:pStyle w:val="BULLET1"/>
        <w:spacing w:after="0"/>
      </w:pPr>
      <w:r>
        <w:t>monitoring</w:t>
      </w:r>
      <w:r w:rsidR="00981C89">
        <w:t>;</w:t>
      </w:r>
    </w:p>
    <w:p w14:paraId="650038B0" w14:textId="3739C1A5" w:rsidR="00981C89" w:rsidRDefault="000B0728" w:rsidP="00F065E8">
      <w:pPr>
        <w:pStyle w:val="BULLET1"/>
        <w:spacing w:after="0"/>
      </w:pPr>
      <w:r w:rsidRPr="00C67AEE">
        <w:t>approving</w:t>
      </w:r>
      <w:r w:rsidR="00981C89">
        <w:t>;</w:t>
      </w:r>
    </w:p>
    <w:p w14:paraId="0DDC5D7F" w14:textId="3DC69BBA" w:rsidR="00981C89" w:rsidRDefault="000B0728" w:rsidP="00F065E8">
      <w:pPr>
        <w:pStyle w:val="BULLET1"/>
        <w:spacing w:after="0"/>
      </w:pPr>
      <w:r w:rsidRPr="00C67AEE">
        <w:t>reviewing</w:t>
      </w:r>
      <w:r w:rsidR="00981C89">
        <w:t>;</w:t>
      </w:r>
    </w:p>
    <w:p w14:paraId="223E4BB7" w14:textId="1EFD56F7" w:rsidR="0063796F" w:rsidRDefault="0063796F" w:rsidP="00F065E8">
      <w:pPr>
        <w:pStyle w:val="BULLET1"/>
        <w:spacing w:after="0"/>
      </w:pPr>
      <w:r>
        <w:t>recommending;</w:t>
      </w:r>
    </w:p>
    <w:p w14:paraId="4CDE1300" w14:textId="0750FEAC" w:rsidR="00981C89" w:rsidRDefault="000B0728" w:rsidP="00F065E8">
      <w:pPr>
        <w:pStyle w:val="BULLET1"/>
        <w:spacing w:after="0"/>
      </w:pPr>
      <w:r w:rsidRPr="00C67AEE">
        <w:t>challenging</w:t>
      </w:r>
      <w:r w:rsidR="00981C89">
        <w:t>;</w:t>
      </w:r>
      <w:r w:rsidRPr="00C67AEE">
        <w:t xml:space="preserve"> or</w:t>
      </w:r>
    </w:p>
    <w:p w14:paraId="18738415" w14:textId="2D5F16E6" w:rsidR="007A52DB" w:rsidRDefault="000B0728" w:rsidP="007A52DB">
      <w:pPr>
        <w:pStyle w:val="BULLET1"/>
        <w:spacing w:after="0"/>
      </w:pPr>
      <w:r w:rsidRPr="00C67AEE">
        <w:t>escalating.</w:t>
      </w:r>
      <w:r w:rsidR="007A52DB" w:rsidRPr="007A52DB">
        <w:t xml:space="preserve"> </w:t>
      </w:r>
    </w:p>
    <w:p w14:paraId="33FE4368" w14:textId="77777777" w:rsidR="007A52DB" w:rsidRDefault="007A52DB" w:rsidP="007A52DB">
      <w:pPr>
        <w:pStyle w:val="BULLET1"/>
        <w:numPr>
          <w:ilvl w:val="0"/>
          <w:numId w:val="0"/>
        </w:numPr>
        <w:spacing w:after="0"/>
        <w:ind w:left="425"/>
      </w:pPr>
    </w:p>
    <w:p w14:paraId="59AAB061" w14:textId="160ADCB1" w:rsidR="00BC03D4" w:rsidRDefault="007A52DB" w:rsidP="007A52DB">
      <w:r>
        <w:t>The level of detail expected to explain the accountability in relation to any particular function will depend on the complexity of the organisation, in terms of size, risk profile, business lines or organisational structure. Additional detail may be required to provide clarity on any points of handover between accountable persons. For smaller, less complex institutions with simpl</w:t>
      </w:r>
      <w:r w:rsidR="0063796F">
        <w:t>e</w:t>
      </w:r>
      <w:r w:rsidR="00B41A05">
        <w:t>r</w:t>
      </w:r>
      <w:r>
        <w:t xml:space="preserve"> structures, this may mean fewer handover points requiring detailed explanation as a single accountable person may be accountable for a key function on an end to end basis.</w:t>
      </w:r>
    </w:p>
    <w:p w14:paraId="66D09522" w14:textId="5532914D" w:rsidR="000B0728" w:rsidRPr="00C160AA" w:rsidRDefault="000B0728" w:rsidP="000B0728">
      <w:pPr>
        <w:pStyle w:val="FigureHeadNumber"/>
        <w:rPr>
          <w:rFonts w:ascii="Arial" w:hAnsi="Arial" w:cs="Arial"/>
        </w:rPr>
      </w:pPr>
      <w:r w:rsidRPr="00C160AA">
        <w:rPr>
          <w:rFonts w:ascii="Arial" w:hAnsi="Arial" w:cs="Arial"/>
        </w:rPr>
        <w:t>Key functions typically covered in accountability statements</w:t>
      </w:r>
    </w:p>
    <w:tbl>
      <w:tblPr>
        <w:tblStyle w:val="APRAGlossaryTable"/>
        <w:tblW w:w="0" w:type="auto"/>
        <w:tblLayout w:type="fixed"/>
        <w:tblLook w:val="04A0" w:firstRow="1" w:lastRow="0" w:firstColumn="1" w:lastColumn="0" w:noHBand="0" w:noVBand="1"/>
      </w:tblPr>
      <w:tblGrid>
        <w:gridCol w:w="9014"/>
      </w:tblGrid>
      <w:tr w:rsidR="00053224" w:rsidRPr="004E295D" w14:paraId="16E0EAF9" w14:textId="77777777" w:rsidTr="0005322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14" w:type="dxa"/>
            <w:shd w:val="clear" w:color="auto" w:fill="012169"/>
          </w:tcPr>
          <w:p w14:paraId="2E553BB9" w14:textId="77777777" w:rsidR="00053224" w:rsidRPr="004E295D" w:rsidRDefault="00053224" w:rsidP="004E295D">
            <w:pPr>
              <w:pStyle w:val="Tabletext"/>
              <w:rPr>
                <w:b/>
              </w:rPr>
            </w:pPr>
            <w:r w:rsidRPr="004E295D">
              <w:rPr>
                <w:b/>
              </w:rPr>
              <w:t>Member of the board of the ADI</w:t>
            </w:r>
          </w:p>
        </w:tc>
      </w:tr>
      <w:tr w:rsidR="00EA73E9" w:rsidRPr="00EA73E9" w14:paraId="10662991" w14:textId="77777777" w:rsidTr="00EA73E9">
        <w:tc>
          <w:tcPr>
            <w:cnfStyle w:val="001000000000" w:firstRow="0" w:lastRow="0" w:firstColumn="1" w:lastColumn="0" w:oddVBand="0" w:evenVBand="0" w:oddHBand="0" w:evenHBand="0" w:firstRowFirstColumn="0" w:firstRowLastColumn="0" w:lastRowFirstColumn="0" w:lastRowLastColumn="0"/>
            <w:tcW w:w="9014" w:type="dxa"/>
            <w:shd w:val="clear" w:color="auto" w:fill="F2F2F2" w:themeFill="background1" w:themeFillShade="F2"/>
          </w:tcPr>
          <w:p w14:paraId="4DA2FFDD" w14:textId="77777777" w:rsidR="00053224" w:rsidRPr="00F05521" w:rsidRDefault="00053224" w:rsidP="00053224">
            <w:pPr>
              <w:pStyle w:val="BULLET1"/>
              <w:spacing w:after="120"/>
              <w:ind w:left="360" w:hanging="360"/>
              <w:rPr>
                <w:rFonts w:cs="Arial"/>
                <w:color w:val="auto"/>
              </w:rPr>
            </w:pPr>
            <w:r w:rsidRPr="00F05521">
              <w:rPr>
                <w:rFonts w:cs="Arial"/>
                <w:color w:val="auto"/>
              </w:rPr>
              <w:t xml:space="preserve">Role as chair or member of specific board committees (where relevant) </w:t>
            </w:r>
          </w:p>
          <w:p w14:paraId="646F9777" w14:textId="61FDCA39" w:rsidR="00B24AE7" w:rsidRDefault="00053224" w:rsidP="00053224">
            <w:pPr>
              <w:pStyle w:val="BULLET1"/>
              <w:spacing w:after="120"/>
              <w:ind w:left="360" w:hanging="360"/>
              <w:rPr>
                <w:rFonts w:cs="Arial"/>
                <w:color w:val="auto"/>
              </w:rPr>
            </w:pPr>
            <w:r w:rsidRPr="007E217E">
              <w:rPr>
                <w:rFonts w:cs="Arial"/>
                <w:color w:val="auto"/>
              </w:rPr>
              <w:t>Contribut</w:t>
            </w:r>
            <w:r w:rsidR="00B24AE7" w:rsidRPr="007E217E">
              <w:rPr>
                <w:rFonts w:cs="Arial"/>
                <w:color w:val="auto"/>
              </w:rPr>
              <w:t>ion</w:t>
            </w:r>
            <w:r w:rsidRPr="001F6BB3">
              <w:rPr>
                <w:rFonts w:cs="Arial"/>
                <w:color w:val="auto"/>
              </w:rPr>
              <w:t xml:space="preserve"> to</w:t>
            </w:r>
            <w:r w:rsidR="00B24AE7">
              <w:rPr>
                <w:rFonts w:cs="Arial"/>
                <w:color w:val="auto"/>
              </w:rPr>
              <w:t>:</w:t>
            </w:r>
          </w:p>
          <w:p w14:paraId="013E9DFA" w14:textId="6043D1B5" w:rsidR="00053224" w:rsidRPr="00B24AE7" w:rsidRDefault="00053224" w:rsidP="00B24AE7">
            <w:pPr>
              <w:pStyle w:val="BULLET2"/>
              <w:rPr>
                <w:color w:val="auto"/>
              </w:rPr>
            </w:pPr>
            <w:r w:rsidRPr="00B24AE7">
              <w:rPr>
                <w:color w:val="auto"/>
              </w:rPr>
              <w:t>board’s role in providing oversight and approvals</w:t>
            </w:r>
          </w:p>
          <w:p w14:paraId="5A3F2762" w14:textId="24D10743" w:rsidR="00053224" w:rsidRPr="00B24AE7" w:rsidRDefault="00053224" w:rsidP="00B24AE7">
            <w:pPr>
              <w:pStyle w:val="BULLET2"/>
              <w:rPr>
                <w:color w:val="auto"/>
              </w:rPr>
            </w:pPr>
            <w:r w:rsidRPr="00B24AE7">
              <w:rPr>
                <w:color w:val="auto"/>
              </w:rPr>
              <w:t>board approval of risk appetite and risk management framework</w:t>
            </w:r>
          </w:p>
          <w:p w14:paraId="43D6B0D8" w14:textId="02106E82" w:rsidR="00053224" w:rsidRPr="00F05521" w:rsidRDefault="00053224" w:rsidP="00B24AE7">
            <w:pPr>
              <w:pStyle w:val="BULLET2"/>
              <w:rPr>
                <w:color w:val="auto"/>
              </w:rPr>
            </w:pPr>
            <w:r w:rsidRPr="00F05521">
              <w:rPr>
                <w:color w:val="auto"/>
              </w:rPr>
              <w:t>board approval of Internal Capital Adequacy Assessment Process (ICAAP</w:t>
            </w:r>
            <w:r w:rsidR="007F083D" w:rsidRPr="007E217E">
              <w:rPr>
                <w:color w:val="auto"/>
              </w:rPr>
              <w:t>)</w:t>
            </w:r>
            <w:r w:rsidRPr="00F05521">
              <w:rPr>
                <w:color w:val="auto"/>
              </w:rPr>
              <w:t xml:space="preserve"> and dividend payments</w:t>
            </w:r>
          </w:p>
          <w:p w14:paraId="1E4B3666" w14:textId="4B6C2A8C" w:rsidR="00053224" w:rsidRPr="00B24AE7" w:rsidRDefault="00053224" w:rsidP="00B24AE7">
            <w:pPr>
              <w:pStyle w:val="BULLET2"/>
              <w:rPr>
                <w:color w:val="auto"/>
              </w:rPr>
            </w:pPr>
            <w:r w:rsidRPr="00B24AE7">
              <w:rPr>
                <w:color w:val="auto"/>
              </w:rPr>
              <w:t>board approval and application of the Remuneration Policy</w:t>
            </w:r>
          </w:p>
          <w:p w14:paraId="4672980F" w14:textId="0FA914FB" w:rsidR="00053224" w:rsidRPr="00B24AE7" w:rsidRDefault="00053224" w:rsidP="00B24AE7">
            <w:pPr>
              <w:pStyle w:val="BULLET2"/>
              <w:rPr>
                <w:color w:val="auto"/>
              </w:rPr>
            </w:pPr>
            <w:r w:rsidRPr="00B24AE7">
              <w:rPr>
                <w:color w:val="auto"/>
              </w:rPr>
              <w:t>board oversight of audit</w:t>
            </w:r>
          </w:p>
          <w:p w14:paraId="7657D597" w14:textId="4572B099" w:rsidR="00F05521" w:rsidRPr="00F05521" w:rsidRDefault="00053224" w:rsidP="00B24AE7">
            <w:pPr>
              <w:pStyle w:val="BULLET2"/>
              <w:rPr>
                <w:color w:val="auto"/>
              </w:rPr>
            </w:pPr>
            <w:r w:rsidRPr="00F05521">
              <w:rPr>
                <w:color w:val="auto"/>
              </w:rPr>
              <w:t>board oversight of compliance</w:t>
            </w:r>
          </w:p>
          <w:p w14:paraId="7E4AA342" w14:textId="5BEDBB9E" w:rsidR="00053224" w:rsidRPr="00C160AA" w:rsidRDefault="00053224" w:rsidP="00F05521">
            <w:pPr>
              <w:pStyle w:val="BULLET2"/>
              <w:rPr>
                <w:color w:val="auto"/>
              </w:rPr>
            </w:pPr>
            <w:r w:rsidRPr="00F05521">
              <w:rPr>
                <w:color w:val="auto"/>
              </w:rPr>
              <w:t>board</w:t>
            </w:r>
            <w:r w:rsidRPr="00B24AE7">
              <w:rPr>
                <w:color w:val="auto"/>
              </w:rPr>
              <w:t xml:space="preserve"> view and actions on risk culture</w:t>
            </w:r>
          </w:p>
        </w:tc>
      </w:tr>
    </w:tbl>
    <w:p w14:paraId="60B1B0F3" w14:textId="77777777" w:rsidR="003B5492" w:rsidRDefault="003B5492">
      <w:r>
        <w:br w:type="page"/>
      </w:r>
    </w:p>
    <w:tbl>
      <w:tblPr>
        <w:tblStyle w:val="APRAGlossaryTable"/>
        <w:tblW w:w="0" w:type="auto"/>
        <w:tblLayout w:type="fixed"/>
        <w:tblLook w:val="04A0" w:firstRow="1" w:lastRow="0" w:firstColumn="1" w:lastColumn="0" w:noHBand="0" w:noVBand="1"/>
      </w:tblPr>
      <w:tblGrid>
        <w:gridCol w:w="9014"/>
      </w:tblGrid>
      <w:tr w:rsidR="00053224" w:rsidRPr="004E295D" w14:paraId="7A3524DE" w14:textId="77777777" w:rsidTr="0005322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14" w:type="dxa"/>
            <w:shd w:val="clear" w:color="auto" w:fill="012169"/>
          </w:tcPr>
          <w:p w14:paraId="3A556CA1" w14:textId="4A98BDAF" w:rsidR="00053224" w:rsidRPr="00C160AA" w:rsidRDefault="00053224" w:rsidP="004E295D">
            <w:pPr>
              <w:pStyle w:val="Tabletext"/>
              <w:rPr>
                <w:b/>
                <w:color w:val="auto"/>
              </w:rPr>
            </w:pPr>
            <w:r w:rsidRPr="00F05521">
              <w:rPr>
                <w:b/>
              </w:rPr>
              <w:t>Overall business activities of the ADI or ADI group</w:t>
            </w:r>
          </w:p>
        </w:tc>
      </w:tr>
      <w:tr w:rsidR="00EA73E9" w:rsidRPr="00EA73E9" w14:paraId="018BA0D4" w14:textId="77777777" w:rsidTr="00EA73E9">
        <w:tc>
          <w:tcPr>
            <w:cnfStyle w:val="001000000000" w:firstRow="0" w:lastRow="0" w:firstColumn="1" w:lastColumn="0" w:oddVBand="0" w:evenVBand="0" w:oddHBand="0" w:evenHBand="0" w:firstRowFirstColumn="0" w:firstRowLastColumn="0" w:lastRowFirstColumn="0" w:lastRowLastColumn="0"/>
            <w:tcW w:w="9014" w:type="dxa"/>
            <w:shd w:val="clear" w:color="auto" w:fill="F2F2F2" w:themeFill="background1" w:themeFillShade="F2"/>
          </w:tcPr>
          <w:p w14:paraId="63D44452" w14:textId="77777777" w:rsidR="00053224" w:rsidRPr="00EA73E9" w:rsidRDefault="00053224" w:rsidP="00053224">
            <w:pPr>
              <w:pStyle w:val="BULLET1"/>
              <w:spacing w:after="120"/>
              <w:ind w:left="360" w:hanging="360"/>
              <w:rPr>
                <w:rFonts w:cs="Arial"/>
                <w:color w:val="auto"/>
              </w:rPr>
            </w:pPr>
            <w:r w:rsidRPr="00EA73E9">
              <w:rPr>
                <w:rFonts w:cs="Arial"/>
                <w:color w:val="auto"/>
              </w:rPr>
              <w:t>Overall strategy and business plan</w:t>
            </w:r>
          </w:p>
          <w:p w14:paraId="614DD860" w14:textId="77777777" w:rsidR="00053224" w:rsidRPr="00EA73E9" w:rsidRDefault="00053224" w:rsidP="00053224">
            <w:pPr>
              <w:pStyle w:val="BULLET1"/>
              <w:spacing w:after="120"/>
              <w:ind w:left="360" w:hanging="360"/>
              <w:rPr>
                <w:rFonts w:cs="Arial"/>
                <w:color w:val="auto"/>
              </w:rPr>
            </w:pPr>
            <w:r w:rsidRPr="00EA73E9">
              <w:rPr>
                <w:rFonts w:cs="Arial"/>
                <w:color w:val="auto"/>
              </w:rPr>
              <w:t>Risk appetite</w:t>
            </w:r>
          </w:p>
          <w:p w14:paraId="0272CBDF" w14:textId="77777777" w:rsidR="00053224" w:rsidRPr="00EA73E9" w:rsidRDefault="00053224" w:rsidP="00053224">
            <w:pPr>
              <w:pStyle w:val="BULLET1"/>
              <w:spacing w:after="120"/>
              <w:ind w:left="360" w:hanging="360"/>
              <w:rPr>
                <w:rFonts w:cs="Arial"/>
                <w:color w:val="auto"/>
              </w:rPr>
            </w:pPr>
            <w:r w:rsidRPr="00EA73E9">
              <w:rPr>
                <w:rFonts w:cs="Arial"/>
                <w:color w:val="auto"/>
              </w:rPr>
              <w:t>Major transactions (e.g. acquisitions and originations)</w:t>
            </w:r>
          </w:p>
          <w:p w14:paraId="0903DA32" w14:textId="77777777" w:rsidR="00053224" w:rsidRPr="00EA73E9" w:rsidRDefault="00053224" w:rsidP="00053224">
            <w:pPr>
              <w:pStyle w:val="BULLET1"/>
              <w:spacing w:after="120"/>
              <w:ind w:left="360" w:hanging="360"/>
              <w:rPr>
                <w:rFonts w:cs="Arial"/>
                <w:color w:val="auto"/>
              </w:rPr>
            </w:pPr>
            <w:r w:rsidRPr="00EA73E9">
              <w:rPr>
                <w:rFonts w:cs="Arial"/>
                <w:color w:val="auto"/>
              </w:rPr>
              <w:t>Escalate to and brief the board on material risk issues</w:t>
            </w:r>
          </w:p>
          <w:p w14:paraId="73D65BC6" w14:textId="77777777" w:rsidR="00053224" w:rsidRPr="00EA73E9" w:rsidRDefault="00053224" w:rsidP="00053224">
            <w:pPr>
              <w:pStyle w:val="BULLET1"/>
              <w:spacing w:after="120"/>
              <w:ind w:left="360" w:hanging="360"/>
              <w:rPr>
                <w:rFonts w:cs="Arial"/>
                <w:color w:val="auto"/>
              </w:rPr>
            </w:pPr>
            <w:r w:rsidRPr="00EA73E9">
              <w:rPr>
                <w:rFonts w:cs="Arial"/>
                <w:color w:val="auto"/>
              </w:rPr>
              <w:t>Organisational structure and internal governance</w:t>
            </w:r>
          </w:p>
        </w:tc>
      </w:tr>
      <w:tr w:rsidR="00053224" w:rsidRPr="004E295D" w14:paraId="3DC14380" w14:textId="77777777" w:rsidTr="00053224">
        <w:tc>
          <w:tcPr>
            <w:cnfStyle w:val="001000000000" w:firstRow="0" w:lastRow="0" w:firstColumn="1" w:lastColumn="0" w:oddVBand="0" w:evenVBand="0" w:oddHBand="0" w:evenHBand="0" w:firstRowFirstColumn="0" w:firstRowLastColumn="0" w:lastRowFirstColumn="0" w:lastRowLastColumn="0"/>
            <w:tcW w:w="9014" w:type="dxa"/>
            <w:shd w:val="clear" w:color="auto" w:fill="012169"/>
          </w:tcPr>
          <w:p w14:paraId="64A58A8E" w14:textId="77777777" w:rsidR="00053224" w:rsidRPr="004E295D" w:rsidRDefault="00053224" w:rsidP="004E295D">
            <w:pPr>
              <w:pStyle w:val="Tabletext"/>
              <w:rPr>
                <w:b/>
              </w:rPr>
            </w:pPr>
            <w:r w:rsidRPr="004E295D">
              <w:rPr>
                <w:b/>
              </w:rPr>
              <w:t>Financial resources of the ADI</w:t>
            </w:r>
          </w:p>
        </w:tc>
      </w:tr>
      <w:tr w:rsidR="00EA73E9" w:rsidRPr="00EA73E9" w14:paraId="68EA2A8A" w14:textId="77777777" w:rsidTr="00EA73E9">
        <w:tc>
          <w:tcPr>
            <w:cnfStyle w:val="001000000000" w:firstRow="0" w:lastRow="0" w:firstColumn="1" w:lastColumn="0" w:oddVBand="0" w:evenVBand="0" w:oddHBand="0" w:evenHBand="0" w:firstRowFirstColumn="0" w:firstRowLastColumn="0" w:lastRowFirstColumn="0" w:lastRowLastColumn="0"/>
            <w:tcW w:w="9014" w:type="dxa"/>
            <w:shd w:val="clear" w:color="auto" w:fill="F2F2F2" w:themeFill="background1" w:themeFillShade="F2"/>
          </w:tcPr>
          <w:p w14:paraId="3A47699B" w14:textId="77777777" w:rsidR="00053224" w:rsidRPr="00EA73E9" w:rsidRDefault="00053224" w:rsidP="00053224">
            <w:pPr>
              <w:pStyle w:val="BULLET1"/>
              <w:spacing w:after="120"/>
              <w:ind w:left="360" w:hanging="360"/>
              <w:rPr>
                <w:rFonts w:cs="Arial"/>
                <w:color w:val="auto"/>
              </w:rPr>
            </w:pPr>
            <w:r w:rsidRPr="00EA73E9">
              <w:rPr>
                <w:rFonts w:cs="Arial"/>
                <w:color w:val="auto"/>
              </w:rPr>
              <w:t xml:space="preserve">Capital management, including ICAAP and capital instruments </w:t>
            </w:r>
          </w:p>
          <w:p w14:paraId="60AB2C8F" w14:textId="77777777" w:rsidR="00053224" w:rsidRPr="00EA73E9" w:rsidRDefault="00053224" w:rsidP="00053224">
            <w:pPr>
              <w:pStyle w:val="BULLET1"/>
              <w:spacing w:after="120"/>
              <w:ind w:left="360" w:hanging="360"/>
              <w:rPr>
                <w:rFonts w:cs="Arial"/>
                <w:color w:val="auto"/>
              </w:rPr>
            </w:pPr>
            <w:r w:rsidRPr="00EA73E9">
              <w:rPr>
                <w:rFonts w:cs="Arial"/>
                <w:color w:val="auto"/>
              </w:rPr>
              <w:t xml:space="preserve">Liquidity and funding operations </w:t>
            </w:r>
          </w:p>
          <w:p w14:paraId="21D94E35" w14:textId="77777777" w:rsidR="00053224" w:rsidRPr="00EA73E9" w:rsidRDefault="00053224" w:rsidP="00053224">
            <w:pPr>
              <w:pStyle w:val="BULLET1"/>
              <w:spacing w:after="120"/>
              <w:ind w:left="360" w:hanging="360"/>
              <w:rPr>
                <w:rFonts w:cs="Arial"/>
                <w:color w:val="auto"/>
              </w:rPr>
            </w:pPr>
            <w:r w:rsidRPr="00EA73E9">
              <w:rPr>
                <w:rFonts w:cs="Arial"/>
                <w:color w:val="auto"/>
              </w:rPr>
              <w:t>Liquidity and funding risk appetite, frameworks, policies and reporting</w:t>
            </w:r>
          </w:p>
          <w:p w14:paraId="2899FC15" w14:textId="4A4374AA" w:rsidR="00053224" w:rsidRPr="00EA73E9" w:rsidRDefault="00053224" w:rsidP="00053224">
            <w:pPr>
              <w:pStyle w:val="BULLET1"/>
              <w:spacing w:after="120"/>
              <w:ind w:left="360" w:hanging="360"/>
              <w:rPr>
                <w:rFonts w:cs="Arial"/>
                <w:color w:val="auto"/>
              </w:rPr>
            </w:pPr>
            <w:r w:rsidRPr="00EA73E9">
              <w:rPr>
                <w:rFonts w:cs="Arial"/>
                <w:color w:val="auto"/>
              </w:rPr>
              <w:t xml:space="preserve">Funding </w:t>
            </w:r>
            <w:r w:rsidR="00CB11ED">
              <w:rPr>
                <w:rFonts w:cs="Arial"/>
                <w:color w:val="auto"/>
              </w:rPr>
              <w:t>p</w:t>
            </w:r>
            <w:r w:rsidRPr="00EA73E9">
              <w:rPr>
                <w:rFonts w:cs="Arial"/>
                <w:color w:val="auto"/>
              </w:rPr>
              <w:t>lan and contingency funding plan</w:t>
            </w:r>
          </w:p>
          <w:p w14:paraId="36686747" w14:textId="77777777" w:rsidR="00053224" w:rsidRPr="00EA73E9" w:rsidRDefault="00053224" w:rsidP="00053224">
            <w:pPr>
              <w:pStyle w:val="BULLET1"/>
              <w:spacing w:after="120"/>
              <w:ind w:left="360" w:hanging="360"/>
              <w:rPr>
                <w:rFonts w:cs="Arial"/>
                <w:color w:val="auto"/>
              </w:rPr>
            </w:pPr>
            <w:r w:rsidRPr="00EA73E9">
              <w:rPr>
                <w:rFonts w:cs="Arial"/>
                <w:color w:val="auto"/>
              </w:rPr>
              <w:t>Financial reporting and accounting</w:t>
            </w:r>
          </w:p>
          <w:p w14:paraId="5E4EEABA" w14:textId="77777777" w:rsidR="00053224" w:rsidRPr="00EA73E9" w:rsidRDefault="00053224" w:rsidP="00053224">
            <w:pPr>
              <w:pStyle w:val="BULLET1"/>
              <w:spacing w:after="120"/>
              <w:ind w:left="360" w:hanging="360"/>
              <w:rPr>
                <w:rFonts w:cs="Arial"/>
                <w:color w:val="auto"/>
              </w:rPr>
            </w:pPr>
            <w:r w:rsidRPr="00EA73E9">
              <w:rPr>
                <w:rFonts w:cs="Arial"/>
                <w:color w:val="auto"/>
              </w:rPr>
              <w:t>Regulatory reporting</w:t>
            </w:r>
          </w:p>
          <w:p w14:paraId="148FDCE8" w14:textId="4FD3BC10" w:rsidR="00053224" w:rsidRPr="00EA73E9" w:rsidRDefault="00053224" w:rsidP="00053224">
            <w:pPr>
              <w:pStyle w:val="BULLET1"/>
              <w:spacing w:after="120"/>
              <w:ind w:left="360" w:hanging="360"/>
              <w:rPr>
                <w:rFonts w:cs="Arial"/>
                <w:color w:val="auto"/>
              </w:rPr>
            </w:pPr>
            <w:r w:rsidRPr="00EA73E9">
              <w:rPr>
                <w:rFonts w:cs="Arial"/>
                <w:color w:val="auto"/>
              </w:rPr>
              <w:t xml:space="preserve">Market risk management, including </w:t>
            </w:r>
            <w:r w:rsidR="00196BAA">
              <w:rPr>
                <w:rFonts w:cs="Arial"/>
                <w:color w:val="auto"/>
              </w:rPr>
              <w:t>interest rate risk</w:t>
            </w:r>
            <w:r w:rsidRPr="00EA73E9">
              <w:rPr>
                <w:rFonts w:cs="Arial"/>
                <w:color w:val="auto"/>
              </w:rPr>
              <w:t xml:space="preserve"> and </w:t>
            </w:r>
            <w:r w:rsidR="00196BAA">
              <w:rPr>
                <w:rFonts w:cs="Arial"/>
                <w:color w:val="auto"/>
              </w:rPr>
              <w:t>foreign exchange risk</w:t>
            </w:r>
          </w:p>
          <w:p w14:paraId="6E1A6301" w14:textId="77777777" w:rsidR="00053224" w:rsidRPr="00EA73E9" w:rsidRDefault="00053224" w:rsidP="00053224">
            <w:pPr>
              <w:pStyle w:val="BULLET1"/>
              <w:spacing w:after="120"/>
              <w:ind w:left="360" w:hanging="360"/>
              <w:rPr>
                <w:rFonts w:cs="Arial"/>
                <w:color w:val="auto"/>
              </w:rPr>
            </w:pPr>
            <w:r w:rsidRPr="00EA73E9">
              <w:rPr>
                <w:rFonts w:cs="Arial"/>
                <w:color w:val="auto"/>
              </w:rPr>
              <w:t>Financial planning, forecasting and budgeting</w:t>
            </w:r>
          </w:p>
          <w:p w14:paraId="05551C72" w14:textId="77777777" w:rsidR="00053224" w:rsidRPr="00EA73E9" w:rsidRDefault="00053224" w:rsidP="00053224">
            <w:pPr>
              <w:pStyle w:val="BULLET1"/>
              <w:spacing w:after="120"/>
              <w:ind w:left="360" w:hanging="360"/>
              <w:rPr>
                <w:rFonts w:cs="Arial"/>
                <w:color w:val="auto"/>
              </w:rPr>
            </w:pPr>
            <w:r w:rsidRPr="00EA73E9">
              <w:rPr>
                <w:rFonts w:cs="Arial"/>
                <w:color w:val="auto"/>
              </w:rPr>
              <w:t>Market disclosure obligations</w:t>
            </w:r>
          </w:p>
          <w:p w14:paraId="2D30F74A" w14:textId="77777777" w:rsidR="00053224" w:rsidRPr="00EA73E9" w:rsidRDefault="00053224" w:rsidP="00053224">
            <w:pPr>
              <w:pStyle w:val="BULLET1"/>
              <w:spacing w:after="120"/>
              <w:ind w:left="360" w:hanging="360"/>
              <w:rPr>
                <w:rFonts w:cs="Arial"/>
                <w:color w:val="auto"/>
              </w:rPr>
            </w:pPr>
            <w:r w:rsidRPr="00EA73E9">
              <w:rPr>
                <w:rFonts w:cs="Arial"/>
                <w:color w:val="auto"/>
              </w:rPr>
              <w:t>Investments spending and capital deployment</w:t>
            </w:r>
          </w:p>
          <w:p w14:paraId="4A8B9C5C" w14:textId="77777777" w:rsidR="00053224" w:rsidRPr="00EA73E9" w:rsidRDefault="00053224" w:rsidP="00053224">
            <w:pPr>
              <w:pStyle w:val="BULLET1"/>
              <w:spacing w:after="120"/>
              <w:ind w:left="360" w:hanging="360"/>
              <w:rPr>
                <w:rFonts w:cs="Arial"/>
                <w:color w:val="auto"/>
              </w:rPr>
            </w:pPr>
            <w:r w:rsidRPr="00EA73E9">
              <w:rPr>
                <w:rFonts w:cs="Arial"/>
                <w:color w:val="auto"/>
              </w:rPr>
              <w:t>Stress testing</w:t>
            </w:r>
          </w:p>
          <w:p w14:paraId="68FA6463" w14:textId="12B7BA72" w:rsidR="00053224" w:rsidRPr="00EA73E9" w:rsidRDefault="00053224" w:rsidP="0063796F">
            <w:pPr>
              <w:pStyle w:val="BULLET1"/>
              <w:spacing w:after="120"/>
              <w:ind w:left="360" w:hanging="360"/>
              <w:rPr>
                <w:rFonts w:cs="Arial"/>
                <w:color w:val="auto"/>
              </w:rPr>
            </w:pPr>
            <w:r w:rsidRPr="00EA73E9">
              <w:rPr>
                <w:rFonts w:cs="Arial"/>
                <w:color w:val="auto"/>
              </w:rPr>
              <w:t xml:space="preserve">Recovery planning </w:t>
            </w:r>
          </w:p>
        </w:tc>
      </w:tr>
      <w:tr w:rsidR="00053224" w:rsidRPr="004E295D" w14:paraId="0B467918" w14:textId="77777777" w:rsidTr="00053224">
        <w:tc>
          <w:tcPr>
            <w:cnfStyle w:val="001000000000" w:firstRow="0" w:lastRow="0" w:firstColumn="1" w:lastColumn="0" w:oddVBand="0" w:evenVBand="0" w:oddHBand="0" w:evenHBand="0" w:firstRowFirstColumn="0" w:firstRowLastColumn="0" w:lastRowFirstColumn="0" w:lastRowLastColumn="0"/>
            <w:tcW w:w="9014" w:type="dxa"/>
            <w:shd w:val="clear" w:color="auto" w:fill="012169"/>
          </w:tcPr>
          <w:p w14:paraId="7A6EE4A5" w14:textId="77777777" w:rsidR="00053224" w:rsidRPr="004E295D" w:rsidRDefault="00053224" w:rsidP="004E295D">
            <w:pPr>
              <w:pStyle w:val="Tabletext"/>
              <w:rPr>
                <w:b/>
              </w:rPr>
            </w:pPr>
            <w:r w:rsidRPr="004E295D">
              <w:rPr>
                <w:b/>
              </w:rPr>
              <w:t>Overall risk controls and risk management of the ADI</w:t>
            </w:r>
          </w:p>
        </w:tc>
      </w:tr>
      <w:tr w:rsidR="00EA73E9" w:rsidRPr="00EA73E9" w14:paraId="6175D983" w14:textId="77777777" w:rsidTr="00EA73E9">
        <w:tc>
          <w:tcPr>
            <w:cnfStyle w:val="001000000000" w:firstRow="0" w:lastRow="0" w:firstColumn="1" w:lastColumn="0" w:oddVBand="0" w:evenVBand="0" w:oddHBand="0" w:evenHBand="0" w:firstRowFirstColumn="0" w:firstRowLastColumn="0" w:lastRowFirstColumn="0" w:lastRowLastColumn="0"/>
            <w:tcW w:w="9014" w:type="dxa"/>
            <w:shd w:val="clear" w:color="auto" w:fill="F2F2F2" w:themeFill="background1" w:themeFillShade="F2"/>
          </w:tcPr>
          <w:p w14:paraId="29A0379B" w14:textId="7B1828EC" w:rsidR="00053224" w:rsidRPr="00EA73E9" w:rsidRDefault="00053224" w:rsidP="00053224">
            <w:pPr>
              <w:pStyle w:val="BULLET1"/>
              <w:spacing w:after="120"/>
              <w:ind w:left="360" w:hanging="360"/>
              <w:rPr>
                <w:rFonts w:cs="Arial"/>
                <w:color w:val="auto"/>
              </w:rPr>
            </w:pPr>
            <w:r w:rsidRPr="00EA73E9">
              <w:rPr>
                <w:rFonts w:cs="Arial"/>
                <w:color w:val="auto"/>
              </w:rPr>
              <w:t xml:space="preserve">Risk appetite and </w:t>
            </w:r>
            <w:r w:rsidR="00CB11ED">
              <w:rPr>
                <w:rFonts w:cs="Arial"/>
                <w:color w:val="auto"/>
              </w:rPr>
              <w:t>r</w:t>
            </w:r>
            <w:r w:rsidRPr="00EA73E9">
              <w:rPr>
                <w:rFonts w:cs="Arial"/>
                <w:color w:val="auto"/>
              </w:rPr>
              <w:t xml:space="preserve">isk </w:t>
            </w:r>
            <w:r w:rsidR="00CB11ED">
              <w:rPr>
                <w:rFonts w:cs="Arial"/>
                <w:color w:val="auto"/>
              </w:rPr>
              <w:t>m</w:t>
            </w:r>
            <w:r w:rsidRPr="00EA73E9">
              <w:rPr>
                <w:rFonts w:cs="Arial"/>
                <w:color w:val="auto"/>
              </w:rPr>
              <w:t xml:space="preserve">anagement </w:t>
            </w:r>
            <w:r w:rsidR="00CB11ED">
              <w:rPr>
                <w:rFonts w:cs="Arial"/>
                <w:color w:val="auto"/>
              </w:rPr>
              <w:t>f</w:t>
            </w:r>
            <w:r w:rsidRPr="00EA73E9">
              <w:rPr>
                <w:rFonts w:cs="Arial"/>
                <w:color w:val="auto"/>
              </w:rPr>
              <w:t xml:space="preserve">ramework </w:t>
            </w:r>
          </w:p>
          <w:p w14:paraId="0281FD65" w14:textId="77777777" w:rsidR="00053224" w:rsidRPr="00EA73E9" w:rsidRDefault="00053224" w:rsidP="00053224">
            <w:pPr>
              <w:pStyle w:val="BULLET1"/>
              <w:spacing w:after="120"/>
              <w:ind w:left="360" w:hanging="360"/>
              <w:rPr>
                <w:rFonts w:cs="Arial"/>
                <w:color w:val="auto"/>
              </w:rPr>
            </w:pPr>
            <w:r w:rsidRPr="00EA73E9">
              <w:rPr>
                <w:rFonts w:cs="Arial"/>
                <w:color w:val="auto"/>
              </w:rPr>
              <w:t>Risk advice to the board</w:t>
            </w:r>
          </w:p>
          <w:p w14:paraId="4FE2B520" w14:textId="77777777" w:rsidR="00053224" w:rsidRPr="00EA73E9" w:rsidRDefault="00053224" w:rsidP="00053224">
            <w:pPr>
              <w:pStyle w:val="BULLET1"/>
              <w:spacing w:after="120"/>
              <w:ind w:left="360" w:hanging="360"/>
              <w:rPr>
                <w:rFonts w:cs="Arial"/>
                <w:color w:val="auto"/>
              </w:rPr>
            </w:pPr>
            <w:r w:rsidRPr="00EA73E9">
              <w:rPr>
                <w:rFonts w:cs="Arial"/>
                <w:color w:val="auto"/>
              </w:rPr>
              <w:t>Risk culture</w:t>
            </w:r>
          </w:p>
          <w:p w14:paraId="474B77A0" w14:textId="228A422D" w:rsidR="00053224" w:rsidRPr="00EA73E9" w:rsidRDefault="00053224" w:rsidP="00053224">
            <w:pPr>
              <w:pStyle w:val="BULLET1"/>
              <w:spacing w:after="120"/>
              <w:ind w:left="360" w:hanging="360"/>
              <w:rPr>
                <w:rFonts w:cs="Arial"/>
                <w:color w:val="auto"/>
              </w:rPr>
            </w:pPr>
            <w:r w:rsidRPr="00EA73E9">
              <w:rPr>
                <w:rFonts w:cs="Arial"/>
                <w:color w:val="auto"/>
              </w:rPr>
              <w:t>Review, challenge and provide risk advi</w:t>
            </w:r>
            <w:r w:rsidR="009D009B">
              <w:rPr>
                <w:rFonts w:cs="Arial"/>
                <w:color w:val="auto"/>
              </w:rPr>
              <w:t>c</w:t>
            </w:r>
            <w:r w:rsidRPr="00EA73E9">
              <w:rPr>
                <w:rFonts w:cs="Arial"/>
                <w:color w:val="auto"/>
              </w:rPr>
              <w:t xml:space="preserve">e to </w:t>
            </w:r>
            <w:r w:rsidR="009D009B">
              <w:rPr>
                <w:rFonts w:cs="Arial"/>
                <w:color w:val="auto"/>
              </w:rPr>
              <w:t>business</w:t>
            </w:r>
            <w:r w:rsidRPr="00EA73E9">
              <w:rPr>
                <w:rFonts w:cs="Arial"/>
                <w:color w:val="auto"/>
              </w:rPr>
              <w:t xml:space="preserve"> line</w:t>
            </w:r>
            <w:r w:rsidR="009D009B">
              <w:rPr>
                <w:rFonts w:cs="Arial"/>
                <w:color w:val="auto"/>
              </w:rPr>
              <w:t>s</w:t>
            </w:r>
            <w:r w:rsidRPr="00EA73E9">
              <w:rPr>
                <w:rFonts w:cs="Arial"/>
                <w:color w:val="auto"/>
              </w:rPr>
              <w:t xml:space="preserve"> </w:t>
            </w:r>
          </w:p>
          <w:p w14:paraId="35390E4A" w14:textId="2D196F6C" w:rsidR="00053224" w:rsidRPr="00EA73E9" w:rsidRDefault="00053224" w:rsidP="00053224">
            <w:pPr>
              <w:pStyle w:val="BULLET1"/>
              <w:spacing w:after="120"/>
              <w:ind w:left="360" w:hanging="360"/>
              <w:rPr>
                <w:rFonts w:cs="Arial"/>
                <w:color w:val="auto"/>
              </w:rPr>
            </w:pPr>
            <w:r w:rsidRPr="00EA73E9">
              <w:rPr>
                <w:rFonts w:cs="Arial"/>
                <w:color w:val="auto"/>
              </w:rPr>
              <w:t>Escalating material risk issues to the board</w:t>
            </w:r>
          </w:p>
          <w:p w14:paraId="68E60C90" w14:textId="77777777" w:rsidR="00053224" w:rsidRPr="00EA73E9" w:rsidRDefault="00053224" w:rsidP="00053224">
            <w:pPr>
              <w:pStyle w:val="BULLET1"/>
              <w:spacing w:after="120"/>
              <w:ind w:left="360" w:hanging="360"/>
              <w:rPr>
                <w:rFonts w:cs="Arial"/>
                <w:color w:val="auto"/>
              </w:rPr>
            </w:pPr>
            <w:r w:rsidRPr="00EA73E9">
              <w:rPr>
                <w:rFonts w:cs="Arial"/>
                <w:color w:val="auto"/>
              </w:rPr>
              <w:t>Reporting material breaches to the board and regulators</w:t>
            </w:r>
          </w:p>
          <w:p w14:paraId="5C7CEECA" w14:textId="75213873" w:rsidR="00053224" w:rsidRPr="00EA73E9" w:rsidRDefault="00053224" w:rsidP="00053224">
            <w:pPr>
              <w:pStyle w:val="BULLET1"/>
              <w:spacing w:after="120"/>
              <w:ind w:left="360" w:hanging="360"/>
              <w:rPr>
                <w:rFonts w:cs="Arial"/>
                <w:color w:val="auto"/>
              </w:rPr>
            </w:pPr>
            <w:r w:rsidRPr="00EA73E9">
              <w:rPr>
                <w:rFonts w:cs="Arial"/>
                <w:color w:val="auto"/>
              </w:rPr>
              <w:t xml:space="preserve">Risk modelling </w:t>
            </w:r>
          </w:p>
          <w:p w14:paraId="3FE1AC9A" w14:textId="167F9CAD" w:rsidR="00053224" w:rsidRPr="00EA73E9" w:rsidRDefault="00053224" w:rsidP="00053224">
            <w:pPr>
              <w:pStyle w:val="BULLET1"/>
              <w:spacing w:after="120"/>
              <w:ind w:left="360" w:hanging="360"/>
              <w:rPr>
                <w:rFonts w:cs="Arial"/>
                <w:color w:val="auto"/>
              </w:rPr>
            </w:pPr>
            <w:r w:rsidRPr="00EA73E9">
              <w:rPr>
                <w:rFonts w:cs="Arial"/>
                <w:color w:val="auto"/>
              </w:rPr>
              <w:t xml:space="preserve">Assessing the effectiveness of </w:t>
            </w:r>
            <w:r w:rsidR="009D009B">
              <w:rPr>
                <w:rFonts w:cs="Arial"/>
                <w:color w:val="auto"/>
              </w:rPr>
              <w:t>business</w:t>
            </w:r>
            <w:r w:rsidRPr="00EA73E9">
              <w:rPr>
                <w:rFonts w:cs="Arial"/>
                <w:color w:val="auto"/>
              </w:rPr>
              <w:t xml:space="preserve"> line risk management and assurance </w:t>
            </w:r>
          </w:p>
          <w:p w14:paraId="4FA75507" w14:textId="77777777" w:rsidR="00053224" w:rsidRPr="00EA73E9" w:rsidRDefault="00053224" w:rsidP="00053224">
            <w:pPr>
              <w:pStyle w:val="BULLET1"/>
              <w:spacing w:after="120"/>
              <w:ind w:left="360" w:hanging="360"/>
              <w:rPr>
                <w:rFonts w:cs="Arial"/>
                <w:color w:val="auto"/>
              </w:rPr>
            </w:pPr>
            <w:r w:rsidRPr="00EA73E9">
              <w:rPr>
                <w:rFonts w:cs="Arial"/>
                <w:color w:val="auto"/>
              </w:rPr>
              <w:t>Sufficient resourcing for risk function (capabilities, training and tools)</w:t>
            </w:r>
          </w:p>
        </w:tc>
      </w:tr>
      <w:tr w:rsidR="00053224" w:rsidRPr="004E295D" w14:paraId="3A2F8C5C" w14:textId="77777777" w:rsidTr="00053224">
        <w:tc>
          <w:tcPr>
            <w:cnfStyle w:val="001000000000" w:firstRow="0" w:lastRow="0" w:firstColumn="1" w:lastColumn="0" w:oddVBand="0" w:evenVBand="0" w:oddHBand="0" w:evenHBand="0" w:firstRowFirstColumn="0" w:firstRowLastColumn="0" w:lastRowFirstColumn="0" w:lastRowLastColumn="0"/>
            <w:tcW w:w="9014" w:type="dxa"/>
            <w:shd w:val="clear" w:color="auto" w:fill="012169"/>
          </w:tcPr>
          <w:p w14:paraId="01266CFB" w14:textId="77777777" w:rsidR="00053224" w:rsidRPr="004E295D" w:rsidRDefault="00053224" w:rsidP="004E295D">
            <w:pPr>
              <w:pStyle w:val="Tabletext"/>
              <w:rPr>
                <w:b/>
              </w:rPr>
            </w:pPr>
            <w:r w:rsidRPr="004E295D">
              <w:rPr>
                <w:b/>
              </w:rPr>
              <w:t>Operations of the ADI</w:t>
            </w:r>
          </w:p>
        </w:tc>
      </w:tr>
      <w:tr w:rsidR="00EA73E9" w:rsidRPr="00EA73E9" w14:paraId="465BCB97" w14:textId="77777777" w:rsidTr="00EA73E9">
        <w:tc>
          <w:tcPr>
            <w:cnfStyle w:val="001000000000" w:firstRow="0" w:lastRow="0" w:firstColumn="1" w:lastColumn="0" w:oddVBand="0" w:evenVBand="0" w:oddHBand="0" w:evenHBand="0" w:firstRowFirstColumn="0" w:firstRowLastColumn="0" w:lastRowFirstColumn="0" w:lastRowLastColumn="0"/>
            <w:tcW w:w="9014" w:type="dxa"/>
            <w:shd w:val="clear" w:color="auto" w:fill="F2F2F2" w:themeFill="background1" w:themeFillShade="F2"/>
          </w:tcPr>
          <w:p w14:paraId="4D288196" w14:textId="77777777" w:rsidR="00053224" w:rsidRPr="00EA73E9" w:rsidRDefault="00053224" w:rsidP="00053224">
            <w:pPr>
              <w:pStyle w:val="BULLET1"/>
              <w:spacing w:after="120"/>
              <w:ind w:left="360" w:hanging="360"/>
              <w:rPr>
                <w:rFonts w:cs="Arial"/>
                <w:color w:val="auto"/>
              </w:rPr>
            </w:pPr>
            <w:r w:rsidRPr="00EA73E9">
              <w:rPr>
                <w:rFonts w:cs="Arial"/>
                <w:color w:val="auto"/>
              </w:rPr>
              <w:t>General project/programme management</w:t>
            </w:r>
          </w:p>
          <w:p w14:paraId="26002678" w14:textId="77777777" w:rsidR="00053224" w:rsidRPr="00EA73E9" w:rsidRDefault="00053224" w:rsidP="00053224">
            <w:pPr>
              <w:pStyle w:val="BULLET1"/>
              <w:spacing w:after="120"/>
              <w:ind w:left="360" w:hanging="360"/>
              <w:rPr>
                <w:rFonts w:cs="Arial"/>
                <w:color w:val="auto"/>
              </w:rPr>
            </w:pPr>
            <w:r w:rsidRPr="00EA73E9">
              <w:rPr>
                <w:rFonts w:cs="Arial"/>
                <w:color w:val="auto"/>
              </w:rPr>
              <w:t>Outsourcing management</w:t>
            </w:r>
          </w:p>
          <w:p w14:paraId="6ED08E4D" w14:textId="77777777" w:rsidR="00053224" w:rsidRPr="00EA73E9" w:rsidRDefault="00053224" w:rsidP="00053224">
            <w:pPr>
              <w:pStyle w:val="BULLET1"/>
              <w:spacing w:after="120"/>
              <w:ind w:left="360" w:hanging="360"/>
              <w:rPr>
                <w:rFonts w:cs="Arial"/>
                <w:color w:val="auto"/>
              </w:rPr>
            </w:pPr>
            <w:r w:rsidRPr="00EA73E9">
              <w:rPr>
                <w:rFonts w:cs="Arial"/>
                <w:color w:val="auto"/>
              </w:rPr>
              <w:t>Business continuity plans and delivery</w:t>
            </w:r>
          </w:p>
          <w:p w14:paraId="018E2CDD" w14:textId="77777777" w:rsidR="00053224" w:rsidRPr="00EA73E9" w:rsidRDefault="00053224" w:rsidP="00053224">
            <w:pPr>
              <w:pStyle w:val="BULLET1"/>
              <w:spacing w:after="120"/>
              <w:ind w:left="360" w:hanging="360"/>
              <w:rPr>
                <w:rFonts w:cs="Arial"/>
                <w:color w:val="auto"/>
              </w:rPr>
            </w:pPr>
            <w:r w:rsidRPr="00EA73E9">
              <w:rPr>
                <w:rFonts w:cs="Arial"/>
                <w:color w:val="auto"/>
              </w:rPr>
              <w:t>Operations controls, frameworks, policies and reporting</w:t>
            </w:r>
          </w:p>
        </w:tc>
      </w:tr>
      <w:tr w:rsidR="00053224" w:rsidRPr="004E295D" w14:paraId="30551E9E" w14:textId="77777777" w:rsidTr="00053224">
        <w:tc>
          <w:tcPr>
            <w:cnfStyle w:val="001000000000" w:firstRow="0" w:lastRow="0" w:firstColumn="1" w:lastColumn="0" w:oddVBand="0" w:evenVBand="0" w:oddHBand="0" w:evenHBand="0" w:firstRowFirstColumn="0" w:firstRowLastColumn="0" w:lastRowFirstColumn="0" w:lastRowLastColumn="0"/>
            <w:tcW w:w="9014" w:type="dxa"/>
            <w:shd w:val="clear" w:color="auto" w:fill="012169"/>
          </w:tcPr>
          <w:p w14:paraId="4A9E2743" w14:textId="30D2343F" w:rsidR="00053224" w:rsidRPr="004E295D" w:rsidRDefault="00053224" w:rsidP="004E295D">
            <w:pPr>
              <w:pStyle w:val="Tabletext"/>
              <w:rPr>
                <w:b/>
              </w:rPr>
            </w:pPr>
            <w:r w:rsidRPr="004E295D">
              <w:rPr>
                <w:b/>
              </w:rPr>
              <w:t xml:space="preserve">Information management of the ADI, including </w:t>
            </w:r>
            <w:r w:rsidR="006F7E71">
              <w:rPr>
                <w:b/>
              </w:rPr>
              <w:t>information technology (</w:t>
            </w:r>
            <w:r w:rsidRPr="004E295D">
              <w:rPr>
                <w:b/>
              </w:rPr>
              <w:t>IT</w:t>
            </w:r>
            <w:r w:rsidR="006F7E71">
              <w:rPr>
                <w:b/>
              </w:rPr>
              <w:t>)</w:t>
            </w:r>
            <w:r w:rsidRPr="004E295D">
              <w:rPr>
                <w:b/>
              </w:rPr>
              <w:t xml:space="preserve"> systems</w:t>
            </w:r>
          </w:p>
        </w:tc>
      </w:tr>
      <w:tr w:rsidR="00EA73E9" w:rsidRPr="00EA73E9" w14:paraId="6C36C456" w14:textId="77777777" w:rsidTr="00EA73E9">
        <w:tc>
          <w:tcPr>
            <w:cnfStyle w:val="001000000000" w:firstRow="0" w:lastRow="0" w:firstColumn="1" w:lastColumn="0" w:oddVBand="0" w:evenVBand="0" w:oddHBand="0" w:evenHBand="0" w:firstRowFirstColumn="0" w:firstRowLastColumn="0" w:lastRowFirstColumn="0" w:lastRowLastColumn="0"/>
            <w:tcW w:w="9014" w:type="dxa"/>
            <w:shd w:val="clear" w:color="auto" w:fill="F2F2F2" w:themeFill="background1" w:themeFillShade="F2"/>
          </w:tcPr>
          <w:p w14:paraId="4C844EBE" w14:textId="77777777" w:rsidR="00053224" w:rsidRPr="00EA73E9" w:rsidRDefault="00053224" w:rsidP="00053224">
            <w:pPr>
              <w:pStyle w:val="BULLET1"/>
              <w:spacing w:after="120"/>
              <w:ind w:left="360" w:hanging="360"/>
              <w:rPr>
                <w:rFonts w:cs="Arial"/>
                <w:color w:val="auto"/>
              </w:rPr>
            </w:pPr>
            <w:r w:rsidRPr="00EA73E9">
              <w:rPr>
                <w:rFonts w:cs="Arial"/>
                <w:color w:val="auto"/>
              </w:rPr>
              <w:t xml:space="preserve">IT strategy, information management and IT frameworks </w:t>
            </w:r>
          </w:p>
          <w:p w14:paraId="0ACDA379" w14:textId="77777777" w:rsidR="00053224" w:rsidRPr="00EA73E9" w:rsidRDefault="00053224" w:rsidP="00053224">
            <w:pPr>
              <w:pStyle w:val="BULLET1"/>
              <w:spacing w:after="120"/>
              <w:ind w:left="360" w:hanging="360"/>
              <w:rPr>
                <w:rFonts w:cs="Arial"/>
                <w:color w:val="auto"/>
              </w:rPr>
            </w:pPr>
            <w:r w:rsidRPr="00EA73E9">
              <w:rPr>
                <w:rFonts w:cs="Arial"/>
                <w:color w:val="auto"/>
              </w:rPr>
              <w:t xml:space="preserve">Data quality and management </w:t>
            </w:r>
          </w:p>
          <w:p w14:paraId="0E050146" w14:textId="77777777" w:rsidR="00053224" w:rsidRPr="00EA73E9" w:rsidRDefault="00053224" w:rsidP="00053224">
            <w:pPr>
              <w:pStyle w:val="BULLET1"/>
              <w:spacing w:after="120"/>
              <w:ind w:left="360" w:hanging="360"/>
              <w:rPr>
                <w:rFonts w:cs="Arial"/>
                <w:color w:val="auto"/>
              </w:rPr>
            </w:pPr>
            <w:r w:rsidRPr="00EA73E9">
              <w:rPr>
                <w:rFonts w:cs="Arial"/>
                <w:color w:val="auto"/>
              </w:rPr>
              <w:t>Information security, cyber security and data protection/privacy</w:t>
            </w:r>
          </w:p>
          <w:p w14:paraId="710E8343" w14:textId="38AA46EE" w:rsidR="00053224" w:rsidRPr="00EA73E9" w:rsidRDefault="00053224" w:rsidP="00053224">
            <w:pPr>
              <w:pStyle w:val="BULLET1"/>
              <w:spacing w:after="120"/>
              <w:ind w:left="360" w:hanging="360"/>
              <w:rPr>
                <w:rFonts w:cs="Arial"/>
                <w:color w:val="auto"/>
              </w:rPr>
            </w:pPr>
            <w:r w:rsidRPr="00EA73E9">
              <w:rPr>
                <w:rFonts w:cs="Arial"/>
                <w:color w:val="auto"/>
              </w:rPr>
              <w:t>Business continuity and disaster recovery</w:t>
            </w:r>
          </w:p>
          <w:p w14:paraId="54CEA151" w14:textId="532D9C55" w:rsidR="00053224" w:rsidRPr="00EA73E9" w:rsidRDefault="00053224" w:rsidP="00053224">
            <w:pPr>
              <w:pStyle w:val="BULLET1"/>
              <w:spacing w:after="120"/>
              <w:ind w:left="360" w:hanging="360"/>
              <w:rPr>
                <w:rFonts w:cs="Arial"/>
                <w:color w:val="auto"/>
              </w:rPr>
            </w:pPr>
            <w:r w:rsidRPr="00EA73E9">
              <w:rPr>
                <w:rFonts w:cs="Arial"/>
                <w:color w:val="auto"/>
              </w:rPr>
              <w:t>Payments system</w:t>
            </w:r>
            <w:r w:rsidR="009D009B">
              <w:rPr>
                <w:rFonts w:cs="Arial"/>
                <w:color w:val="auto"/>
              </w:rPr>
              <w:t>s</w:t>
            </w:r>
          </w:p>
          <w:p w14:paraId="160F838F" w14:textId="77777777" w:rsidR="00053224" w:rsidRPr="00EA73E9" w:rsidRDefault="00053224" w:rsidP="00053224">
            <w:pPr>
              <w:pStyle w:val="BULLET1"/>
              <w:spacing w:after="120"/>
              <w:ind w:left="360" w:hanging="360"/>
              <w:rPr>
                <w:rFonts w:cs="Arial"/>
                <w:color w:val="auto"/>
              </w:rPr>
            </w:pPr>
            <w:r w:rsidRPr="00EA73E9">
              <w:rPr>
                <w:rFonts w:cs="Arial"/>
                <w:color w:val="auto"/>
              </w:rPr>
              <w:t>Supporting regulatory reporting</w:t>
            </w:r>
          </w:p>
        </w:tc>
      </w:tr>
      <w:tr w:rsidR="00053224" w:rsidRPr="004E295D" w14:paraId="6B029825" w14:textId="77777777" w:rsidTr="00053224">
        <w:tc>
          <w:tcPr>
            <w:cnfStyle w:val="001000000000" w:firstRow="0" w:lastRow="0" w:firstColumn="1" w:lastColumn="0" w:oddVBand="0" w:evenVBand="0" w:oddHBand="0" w:evenHBand="0" w:firstRowFirstColumn="0" w:firstRowLastColumn="0" w:lastRowFirstColumn="0" w:lastRowLastColumn="0"/>
            <w:tcW w:w="9014" w:type="dxa"/>
            <w:shd w:val="clear" w:color="auto" w:fill="012169"/>
          </w:tcPr>
          <w:p w14:paraId="0C170AB6" w14:textId="77777777" w:rsidR="00053224" w:rsidRPr="004E295D" w:rsidRDefault="00053224" w:rsidP="004E295D">
            <w:pPr>
              <w:pStyle w:val="Tabletext"/>
              <w:rPr>
                <w:b/>
              </w:rPr>
            </w:pPr>
            <w:r w:rsidRPr="004E295D">
              <w:rPr>
                <w:b/>
              </w:rPr>
              <w:t>Internal audit function of the ADI</w:t>
            </w:r>
          </w:p>
        </w:tc>
      </w:tr>
      <w:tr w:rsidR="00EA73E9" w:rsidRPr="00EA73E9" w14:paraId="15BD32FD" w14:textId="77777777" w:rsidTr="00EA73E9">
        <w:tc>
          <w:tcPr>
            <w:cnfStyle w:val="001000000000" w:firstRow="0" w:lastRow="0" w:firstColumn="1" w:lastColumn="0" w:oddVBand="0" w:evenVBand="0" w:oddHBand="0" w:evenHBand="0" w:firstRowFirstColumn="0" w:firstRowLastColumn="0" w:lastRowFirstColumn="0" w:lastRowLastColumn="0"/>
            <w:tcW w:w="9014" w:type="dxa"/>
            <w:shd w:val="clear" w:color="auto" w:fill="F2F2F2" w:themeFill="background1" w:themeFillShade="F2"/>
          </w:tcPr>
          <w:p w14:paraId="5D93ADD7" w14:textId="5C1402B2" w:rsidR="00053224" w:rsidRPr="00EA73E9" w:rsidRDefault="00053224" w:rsidP="00053224">
            <w:pPr>
              <w:pStyle w:val="BULLET1"/>
              <w:spacing w:after="120"/>
              <w:ind w:left="360" w:hanging="360"/>
              <w:rPr>
                <w:rFonts w:cs="Arial"/>
                <w:color w:val="auto"/>
              </w:rPr>
            </w:pPr>
            <w:r w:rsidRPr="00EA73E9">
              <w:rPr>
                <w:rFonts w:cs="Arial"/>
                <w:color w:val="auto"/>
              </w:rPr>
              <w:t xml:space="preserve">Review and report on </w:t>
            </w:r>
            <w:r w:rsidR="00CB11ED">
              <w:rPr>
                <w:rFonts w:cs="Arial"/>
                <w:color w:val="auto"/>
              </w:rPr>
              <w:t>r</w:t>
            </w:r>
            <w:r w:rsidRPr="00EA73E9">
              <w:rPr>
                <w:rFonts w:cs="Arial"/>
                <w:color w:val="auto"/>
              </w:rPr>
              <w:t xml:space="preserve">isk </w:t>
            </w:r>
            <w:r w:rsidR="00CB11ED">
              <w:rPr>
                <w:rFonts w:cs="Arial"/>
                <w:color w:val="auto"/>
              </w:rPr>
              <w:t>m</w:t>
            </w:r>
            <w:r w:rsidRPr="00EA73E9">
              <w:rPr>
                <w:rFonts w:cs="Arial"/>
                <w:color w:val="auto"/>
              </w:rPr>
              <w:t xml:space="preserve">anagement </w:t>
            </w:r>
            <w:r w:rsidR="00CB11ED">
              <w:rPr>
                <w:rFonts w:cs="Arial"/>
                <w:color w:val="auto"/>
              </w:rPr>
              <w:t>f</w:t>
            </w:r>
            <w:r w:rsidRPr="00EA73E9">
              <w:rPr>
                <w:rFonts w:cs="Arial"/>
                <w:color w:val="auto"/>
              </w:rPr>
              <w:t>ramework</w:t>
            </w:r>
          </w:p>
          <w:p w14:paraId="0580E840" w14:textId="77777777" w:rsidR="00053224" w:rsidRPr="00EA73E9" w:rsidRDefault="00053224" w:rsidP="00053224">
            <w:pPr>
              <w:pStyle w:val="BULLET1"/>
              <w:spacing w:after="120"/>
              <w:ind w:left="360" w:hanging="360"/>
              <w:rPr>
                <w:rFonts w:cs="Arial"/>
                <w:color w:val="auto"/>
              </w:rPr>
            </w:pPr>
            <w:r w:rsidRPr="00EA73E9">
              <w:rPr>
                <w:rFonts w:cs="Arial"/>
                <w:color w:val="auto"/>
              </w:rPr>
              <w:t>Recommendations to improve risk management, controls and monitoring</w:t>
            </w:r>
          </w:p>
          <w:p w14:paraId="3D5A9C3E" w14:textId="77777777" w:rsidR="00053224" w:rsidRPr="00EA73E9" w:rsidRDefault="00053224" w:rsidP="00053224">
            <w:pPr>
              <w:pStyle w:val="BULLET1"/>
              <w:spacing w:after="120"/>
              <w:ind w:left="360" w:hanging="360"/>
              <w:rPr>
                <w:rFonts w:cs="Arial"/>
                <w:color w:val="auto"/>
              </w:rPr>
            </w:pPr>
            <w:r w:rsidRPr="00EA73E9">
              <w:rPr>
                <w:rFonts w:cs="Arial"/>
                <w:color w:val="auto"/>
              </w:rPr>
              <w:t>Internal audit plan</w:t>
            </w:r>
          </w:p>
          <w:p w14:paraId="5828CAD1" w14:textId="77777777" w:rsidR="00053224" w:rsidRPr="00EA73E9" w:rsidRDefault="00053224" w:rsidP="00053224">
            <w:pPr>
              <w:pStyle w:val="BULLET1"/>
              <w:spacing w:after="120"/>
              <w:ind w:left="360" w:hanging="360"/>
              <w:rPr>
                <w:rFonts w:cs="Arial"/>
                <w:color w:val="auto"/>
              </w:rPr>
            </w:pPr>
            <w:r w:rsidRPr="00EA73E9">
              <w:rPr>
                <w:rFonts w:cs="Arial"/>
                <w:color w:val="auto"/>
              </w:rPr>
              <w:t>Reporting progress and findings to board and management</w:t>
            </w:r>
          </w:p>
          <w:p w14:paraId="2FF99B07" w14:textId="2C3BD2B9" w:rsidR="00053224" w:rsidRPr="00EA73E9" w:rsidRDefault="00053224" w:rsidP="00053224">
            <w:pPr>
              <w:pStyle w:val="BULLET1"/>
              <w:spacing w:after="120"/>
              <w:ind w:left="360" w:hanging="360"/>
              <w:rPr>
                <w:rFonts w:cs="Arial"/>
                <w:color w:val="auto"/>
              </w:rPr>
            </w:pPr>
            <w:r w:rsidRPr="00EA73E9">
              <w:rPr>
                <w:rFonts w:cs="Arial"/>
                <w:color w:val="auto"/>
              </w:rPr>
              <w:t xml:space="preserve">Resourcing </w:t>
            </w:r>
            <w:r w:rsidR="009D009B">
              <w:rPr>
                <w:rFonts w:cs="Arial"/>
                <w:color w:val="auto"/>
              </w:rPr>
              <w:t xml:space="preserve">of </w:t>
            </w:r>
            <w:r w:rsidRPr="00EA73E9">
              <w:rPr>
                <w:rFonts w:cs="Arial"/>
                <w:color w:val="auto"/>
              </w:rPr>
              <w:t>the internal audit function</w:t>
            </w:r>
          </w:p>
        </w:tc>
      </w:tr>
      <w:tr w:rsidR="00053224" w:rsidRPr="004E295D" w14:paraId="0D1D9452" w14:textId="77777777" w:rsidTr="00053224">
        <w:tc>
          <w:tcPr>
            <w:cnfStyle w:val="001000000000" w:firstRow="0" w:lastRow="0" w:firstColumn="1" w:lastColumn="0" w:oddVBand="0" w:evenVBand="0" w:oddHBand="0" w:evenHBand="0" w:firstRowFirstColumn="0" w:firstRowLastColumn="0" w:lastRowFirstColumn="0" w:lastRowLastColumn="0"/>
            <w:tcW w:w="9014" w:type="dxa"/>
            <w:shd w:val="clear" w:color="auto" w:fill="012169"/>
          </w:tcPr>
          <w:p w14:paraId="1659C66A" w14:textId="77777777" w:rsidR="00053224" w:rsidRPr="004E295D" w:rsidRDefault="00053224" w:rsidP="004E295D">
            <w:pPr>
              <w:pStyle w:val="Tabletext"/>
              <w:rPr>
                <w:b/>
              </w:rPr>
            </w:pPr>
            <w:r w:rsidRPr="004E295D">
              <w:rPr>
                <w:b/>
              </w:rPr>
              <w:t xml:space="preserve">Compliance function of the ADI </w:t>
            </w:r>
          </w:p>
        </w:tc>
      </w:tr>
      <w:tr w:rsidR="00EA73E9" w:rsidRPr="00EA73E9" w14:paraId="06F92EE9" w14:textId="77777777" w:rsidTr="00EA73E9">
        <w:tc>
          <w:tcPr>
            <w:cnfStyle w:val="001000000000" w:firstRow="0" w:lastRow="0" w:firstColumn="1" w:lastColumn="0" w:oddVBand="0" w:evenVBand="0" w:oddHBand="0" w:evenHBand="0" w:firstRowFirstColumn="0" w:firstRowLastColumn="0" w:lastRowFirstColumn="0" w:lastRowLastColumn="0"/>
            <w:tcW w:w="9014" w:type="dxa"/>
            <w:shd w:val="clear" w:color="auto" w:fill="F2F2F2" w:themeFill="background1" w:themeFillShade="F2"/>
          </w:tcPr>
          <w:p w14:paraId="42CFD007" w14:textId="06B850C4" w:rsidR="00053224" w:rsidRPr="00EA73E9" w:rsidRDefault="00053224" w:rsidP="00053224">
            <w:pPr>
              <w:pStyle w:val="BULLET1"/>
              <w:spacing w:after="120"/>
              <w:ind w:left="360" w:hanging="360"/>
              <w:rPr>
                <w:rFonts w:cs="Arial"/>
                <w:color w:val="auto"/>
              </w:rPr>
            </w:pPr>
            <w:r w:rsidRPr="00EA73E9">
              <w:rPr>
                <w:rFonts w:cs="Arial"/>
                <w:color w:val="auto"/>
              </w:rPr>
              <w:t xml:space="preserve">Compliance </w:t>
            </w:r>
            <w:r w:rsidR="00CB11ED">
              <w:rPr>
                <w:rFonts w:cs="Arial"/>
                <w:color w:val="auto"/>
              </w:rPr>
              <w:t>f</w:t>
            </w:r>
            <w:r w:rsidRPr="00EA73E9">
              <w:rPr>
                <w:rFonts w:cs="Arial"/>
                <w:color w:val="auto"/>
              </w:rPr>
              <w:t>ramework and monitoring compliance with framework and policies</w:t>
            </w:r>
          </w:p>
          <w:p w14:paraId="396C65E6" w14:textId="77777777" w:rsidR="00053224" w:rsidRPr="00EA73E9" w:rsidRDefault="00053224" w:rsidP="00053224">
            <w:pPr>
              <w:pStyle w:val="BULLET1"/>
              <w:spacing w:after="120"/>
              <w:ind w:left="360" w:hanging="360"/>
              <w:rPr>
                <w:rFonts w:cs="Arial"/>
                <w:color w:val="auto"/>
              </w:rPr>
            </w:pPr>
            <w:r w:rsidRPr="00EA73E9">
              <w:rPr>
                <w:rFonts w:cs="Arial"/>
                <w:color w:val="auto"/>
              </w:rPr>
              <w:t>Compliance Obligations Register</w:t>
            </w:r>
          </w:p>
          <w:p w14:paraId="0E8DFBBA" w14:textId="67FF2A78" w:rsidR="00053224" w:rsidRPr="00EA73E9" w:rsidRDefault="00053224" w:rsidP="00053224">
            <w:pPr>
              <w:pStyle w:val="BULLET1"/>
              <w:spacing w:after="120"/>
              <w:ind w:left="360" w:hanging="360"/>
              <w:rPr>
                <w:rFonts w:cs="Arial"/>
                <w:color w:val="auto"/>
              </w:rPr>
            </w:pPr>
            <w:r w:rsidRPr="00EA73E9">
              <w:rPr>
                <w:rFonts w:cs="Arial"/>
                <w:color w:val="auto"/>
              </w:rPr>
              <w:t xml:space="preserve">Assessing effectiveness of the </w:t>
            </w:r>
            <w:r w:rsidR="009D009B">
              <w:rPr>
                <w:rFonts w:cs="Arial"/>
                <w:color w:val="auto"/>
              </w:rPr>
              <w:t>business</w:t>
            </w:r>
            <w:r w:rsidRPr="00EA73E9">
              <w:rPr>
                <w:rFonts w:cs="Arial"/>
                <w:color w:val="auto"/>
              </w:rPr>
              <w:t xml:space="preserve"> line compliance functions</w:t>
            </w:r>
          </w:p>
          <w:p w14:paraId="77FED9DF" w14:textId="6C2112E4" w:rsidR="00053224" w:rsidRPr="00EA73E9" w:rsidRDefault="00053224" w:rsidP="00053224">
            <w:pPr>
              <w:pStyle w:val="BULLET1"/>
              <w:spacing w:after="120"/>
              <w:ind w:left="360" w:hanging="360"/>
              <w:rPr>
                <w:rFonts w:cs="Arial"/>
                <w:color w:val="auto"/>
              </w:rPr>
            </w:pPr>
            <w:r w:rsidRPr="00EA73E9">
              <w:rPr>
                <w:rFonts w:cs="Arial"/>
                <w:color w:val="auto"/>
              </w:rPr>
              <w:t xml:space="preserve">Resourcing </w:t>
            </w:r>
            <w:r w:rsidR="009D009B">
              <w:rPr>
                <w:rFonts w:cs="Arial"/>
                <w:color w:val="auto"/>
              </w:rPr>
              <w:t xml:space="preserve">of </w:t>
            </w:r>
            <w:r w:rsidRPr="00EA73E9">
              <w:rPr>
                <w:rFonts w:cs="Arial"/>
                <w:color w:val="auto"/>
              </w:rPr>
              <w:t>the compliance function</w:t>
            </w:r>
          </w:p>
        </w:tc>
      </w:tr>
      <w:tr w:rsidR="00053224" w:rsidRPr="004E295D" w14:paraId="4E700650" w14:textId="77777777" w:rsidTr="00053224">
        <w:tc>
          <w:tcPr>
            <w:cnfStyle w:val="001000000000" w:firstRow="0" w:lastRow="0" w:firstColumn="1" w:lastColumn="0" w:oddVBand="0" w:evenVBand="0" w:oddHBand="0" w:evenHBand="0" w:firstRowFirstColumn="0" w:firstRowLastColumn="0" w:lastRowFirstColumn="0" w:lastRowLastColumn="0"/>
            <w:tcW w:w="9014" w:type="dxa"/>
            <w:shd w:val="clear" w:color="auto" w:fill="012169"/>
          </w:tcPr>
          <w:p w14:paraId="20894D87" w14:textId="77777777" w:rsidR="00053224" w:rsidRPr="004E295D" w:rsidRDefault="00053224" w:rsidP="004E295D">
            <w:pPr>
              <w:pStyle w:val="Tabletext"/>
              <w:rPr>
                <w:b/>
              </w:rPr>
            </w:pPr>
            <w:r w:rsidRPr="004E295D">
              <w:rPr>
                <w:b/>
              </w:rPr>
              <w:t>Human resources function of the ADI</w:t>
            </w:r>
          </w:p>
        </w:tc>
      </w:tr>
      <w:tr w:rsidR="00EA73E9" w:rsidRPr="00EA73E9" w14:paraId="25606C89" w14:textId="77777777" w:rsidTr="00EA73E9">
        <w:tc>
          <w:tcPr>
            <w:cnfStyle w:val="001000000000" w:firstRow="0" w:lastRow="0" w:firstColumn="1" w:lastColumn="0" w:oddVBand="0" w:evenVBand="0" w:oddHBand="0" w:evenHBand="0" w:firstRowFirstColumn="0" w:firstRowLastColumn="0" w:lastRowFirstColumn="0" w:lastRowLastColumn="0"/>
            <w:tcW w:w="9014" w:type="dxa"/>
            <w:shd w:val="clear" w:color="auto" w:fill="F2F2F2" w:themeFill="background1" w:themeFillShade="F2"/>
          </w:tcPr>
          <w:p w14:paraId="3AAF15D6" w14:textId="77777777" w:rsidR="00053224" w:rsidRPr="00EA73E9" w:rsidRDefault="00053224" w:rsidP="00053224">
            <w:pPr>
              <w:pStyle w:val="BULLET1"/>
              <w:spacing w:after="120"/>
              <w:ind w:left="360" w:hanging="360"/>
              <w:rPr>
                <w:rFonts w:cs="Arial"/>
                <w:color w:val="auto"/>
              </w:rPr>
            </w:pPr>
            <w:r w:rsidRPr="00EA73E9">
              <w:rPr>
                <w:rFonts w:cs="Arial"/>
                <w:color w:val="auto"/>
              </w:rPr>
              <w:t xml:space="preserve">Human resources management and performance management frameworks </w:t>
            </w:r>
          </w:p>
          <w:p w14:paraId="69E5865C" w14:textId="77777777" w:rsidR="00053224" w:rsidRPr="00EA73E9" w:rsidRDefault="00053224" w:rsidP="00053224">
            <w:pPr>
              <w:pStyle w:val="BULLET1"/>
              <w:spacing w:after="120"/>
              <w:ind w:left="360" w:hanging="360"/>
              <w:rPr>
                <w:rFonts w:cs="Arial"/>
                <w:color w:val="auto"/>
              </w:rPr>
            </w:pPr>
            <w:r w:rsidRPr="00EA73E9">
              <w:rPr>
                <w:rFonts w:cs="Arial"/>
                <w:color w:val="auto"/>
              </w:rPr>
              <w:t>Remuneration and reward policy</w:t>
            </w:r>
          </w:p>
        </w:tc>
      </w:tr>
      <w:tr w:rsidR="00053224" w:rsidRPr="004E295D" w14:paraId="068E61AF" w14:textId="77777777" w:rsidTr="00053224">
        <w:tc>
          <w:tcPr>
            <w:cnfStyle w:val="001000000000" w:firstRow="0" w:lastRow="0" w:firstColumn="1" w:lastColumn="0" w:oddVBand="0" w:evenVBand="0" w:oddHBand="0" w:evenHBand="0" w:firstRowFirstColumn="0" w:firstRowLastColumn="0" w:lastRowFirstColumn="0" w:lastRowLastColumn="0"/>
            <w:tcW w:w="9014" w:type="dxa"/>
            <w:shd w:val="clear" w:color="auto" w:fill="012169"/>
          </w:tcPr>
          <w:p w14:paraId="7F3099EF" w14:textId="77777777" w:rsidR="00053224" w:rsidRPr="004E295D" w:rsidRDefault="00053224" w:rsidP="004E295D">
            <w:pPr>
              <w:pStyle w:val="Tabletext"/>
              <w:rPr>
                <w:b/>
              </w:rPr>
            </w:pPr>
            <w:r w:rsidRPr="004E295D">
              <w:rPr>
                <w:b/>
              </w:rPr>
              <w:t>Anti-money laundering (AML) function of the ADI</w:t>
            </w:r>
          </w:p>
        </w:tc>
      </w:tr>
      <w:tr w:rsidR="00EA73E9" w:rsidRPr="00EA73E9" w14:paraId="516BEFDE" w14:textId="77777777" w:rsidTr="00EA73E9">
        <w:tc>
          <w:tcPr>
            <w:cnfStyle w:val="001000000000" w:firstRow="0" w:lastRow="0" w:firstColumn="1" w:lastColumn="0" w:oddVBand="0" w:evenVBand="0" w:oddHBand="0" w:evenHBand="0" w:firstRowFirstColumn="0" w:firstRowLastColumn="0" w:lastRowFirstColumn="0" w:lastRowLastColumn="0"/>
            <w:tcW w:w="9014" w:type="dxa"/>
            <w:shd w:val="clear" w:color="auto" w:fill="F2F2F2" w:themeFill="background1" w:themeFillShade="F2"/>
          </w:tcPr>
          <w:p w14:paraId="1F4633CB" w14:textId="430D316F" w:rsidR="00053224" w:rsidRPr="00EA73E9" w:rsidRDefault="00053224" w:rsidP="00053224">
            <w:pPr>
              <w:pStyle w:val="BULLET1"/>
              <w:spacing w:after="120"/>
              <w:ind w:left="360" w:hanging="360"/>
              <w:rPr>
                <w:rFonts w:cs="Arial"/>
                <w:color w:val="auto"/>
              </w:rPr>
            </w:pPr>
            <w:r w:rsidRPr="00EA73E9">
              <w:rPr>
                <w:rFonts w:cs="Arial"/>
                <w:color w:val="auto"/>
              </w:rPr>
              <w:t xml:space="preserve">AML </w:t>
            </w:r>
            <w:r w:rsidR="00CB11ED">
              <w:rPr>
                <w:rFonts w:cs="Arial"/>
                <w:color w:val="auto"/>
              </w:rPr>
              <w:t>f</w:t>
            </w:r>
            <w:r w:rsidRPr="00EA73E9">
              <w:rPr>
                <w:rFonts w:cs="Arial"/>
                <w:color w:val="auto"/>
              </w:rPr>
              <w:t>ramework (including counter terrorism financing, anti-bribery, corruption and sanctions responsibilities)</w:t>
            </w:r>
          </w:p>
          <w:p w14:paraId="633DB595" w14:textId="77777777" w:rsidR="00053224" w:rsidRPr="00EA73E9" w:rsidRDefault="00053224" w:rsidP="00053224">
            <w:pPr>
              <w:pStyle w:val="BULLET1"/>
              <w:spacing w:after="120"/>
              <w:ind w:left="360" w:hanging="360"/>
              <w:rPr>
                <w:rFonts w:cs="Arial"/>
                <w:color w:val="auto"/>
              </w:rPr>
            </w:pPr>
            <w:r w:rsidRPr="00EA73E9">
              <w:rPr>
                <w:rFonts w:cs="Arial"/>
                <w:color w:val="auto"/>
              </w:rPr>
              <w:t>Assessing the effectiveness of AML framework and compliance functions</w:t>
            </w:r>
          </w:p>
        </w:tc>
      </w:tr>
      <w:tr w:rsidR="00053224" w:rsidRPr="004E295D" w14:paraId="41553C48" w14:textId="77777777" w:rsidTr="00053224">
        <w:tc>
          <w:tcPr>
            <w:cnfStyle w:val="001000000000" w:firstRow="0" w:lastRow="0" w:firstColumn="1" w:lastColumn="0" w:oddVBand="0" w:evenVBand="0" w:oddHBand="0" w:evenHBand="0" w:firstRowFirstColumn="0" w:firstRowLastColumn="0" w:lastRowFirstColumn="0" w:lastRowLastColumn="0"/>
            <w:tcW w:w="9014" w:type="dxa"/>
            <w:shd w:val="clear" w:color="auto" w:fill="012169"/>
          </w:tcPr>
          <w:p w14:paraId="34DDF037" w14:textId="77777777" w:rsidR="00053224" w:rsidRPr="004E295D" w:rsidRDefault="00053224" w:rsidP="004E295D">
            <w:pPr>
              <w:pStyle w:val="Tabletext"/>
              <w:rPr>
                <w:b/>
              </w:rPr>
            </w:pPr>
            <w:r w:rsidRPr="004E295D">
              <w:rPr>
                <w:b/>
              </w:rPr>
              <w:t xml:space="preserve">General responsibilities </w:t>
            </w:r>
          </w:p>
        </w:tc>
      </w:tr>
      <w:tr w:rsidR="00EA73E9" w:rsidRPr="00EA73E9" w14:paraId="0C7581F5" w14:textId="77777777" w:rsidTr="00EA73E9">
        <w:tc>
          <w:tcPr>
            <w:cnfStyle w:val="001000000000" w:firstRow="0" w:lastRow="0" w:firstColumn="1" w:lastColumn="0" w:oddVBand="0" w:evenVBand="0" w:oddHBand="0" w:evenHBand="0" w:firstRowFirstColumn="0" w:firstRowLastColumn="0" w:lastRowFirstColumn="0" w:lastRowLastColumn="0"/>
            <w:tcW w:w="9014" w:type="dxa"/>
            <w:shd w:val="clear" w:color="auto" w:fill="F2F2F2" w:themeFill="background1" w:themeFillShade="F2"/>
          </w:tcPr>
          <w:p w14:paraId="7DF668E0" w14:textId="77777777" w:rsidR="00053224" w:rsidRPr="00EA73E9" w:rsidRDefault="00053224" w:rsidP="00053224">
            <w:pPr>
              <w:pStyle w:val="BULLET1"/>
              <w:spacing w:after="120"/>
              <w:ind w:left="360" w:hanging="360"/>
              <w:rPr>
                <w:rFonts w:cs="Arial"/>
                <w:color w:val="auto"/>
              </w:rPr>
            </w:pPr>
            <w:r w:rsidRPr="00EA73E9">
              <w:rPr>
                <w:rFonts w:cs="Arial"/>
                <w:color w:val="auto"/>
              </w:rPr>
              <w:t>Management (strategy, culture, people, risk, systems, performance and resourcing)</w:t>
            </w:r>
          </w:p>
          <w:p w14:paraId="71224798" w14:textId="77777777" w:rsidR="00053224" w:rsidRPr="00EA73E9" w:rsidRDefault="00053224" w:rsidP="00053224">
            <w:pPr>
              <w:pStyle w:val="BULLET1"/>
              <w:spacing w:after="120"/>
              <w:ind w:left="360" w:hanging="360"/>
              <w:rPr>
                <w:rFonts w:cs="Arial"/>
                <w:color w:val="auto"/>
              </w:rPr>
            </w:pPr>
            <w:r w:rsidRPr="00EA73E9">
              <w:rPr>
                <w:rFonts w:cs="Arial"/>
                <w:color w:val="auto"/>
              </w:rPr>
              <w:t>Business division’s strategy and risk appetite</w:t>
            </w:r>
          </w:p>
          <w:p w14:paraId="4B21738D" w14:textId="77777777" w:rsidR="00053224" w:rsidRPr="00EA73E9" w:rsidRDefault="00053224" w:rsidP="00053224">
            <w:pPr>
              <w:pStyle w:val="BULLET1"/>
              <w:spacing w:after="120"/>
              <w:ind w:left="360" w:hanging="360"/>
              <w:rPr>
                <w:rFonts w:cs="Arial"/>
                <w:color w:val="auto"/>
              </w:rPr>
            </w:pPr>
            <w:r w:rsidRPr="00EA73E9">
              <w:rPr>
                <w:rFonts w:cs="Arial"/>
                <w:color w:val="auto"/>
              </w:rPr>
              <w:t>Reporting on performance</w:t>
            </w:r>
          </w:p>
          <w:p w14:paraId="5D5AC043" w14:textId="77777777" w:rsidR="00053224" w:rsidRPr="00EA73E9" w:rsidRDefault="00053224" w:rsidP="00053224">
            <w:pPr>
              <w:pStyle w:val="BULLET1"/>
              <w:spacing w:after="120"/>
              <w:ind w:left="360" w:hanging="360"/>
              <w:rPr>
                <w:rFonts w:cs="Arial"/>
                <w:color w:val="auto"/>
              </w:rPr>
            </w:pPr>
            <w:r w:rsidRPr="00EA73E9">
              <w:rPr>
                <w:rFonts w:cs="Arial"/>
                <w:color w:val="auto"/>
              </w:rPr>
              <w:t>Compliance with group policies, laws and regulations</w:t>
            </w:r>
          </w:p>
          <w:p w14:paraId="7D8EB496" w14:textId="0EF09D78" w:rsidR="00053224" w:rsidRPr="00EA73E9" w:rsidRDefault="00053224" w:rsidP="00053224">
            <w:pPr>
              <w:pStyle w:val="BULLET1"/>
              <w:spacing w:after="120"/>
              <w:ind w:left="360" w:hanging="360"/>
              <w:rPr>
                <w:rFonts w:cs="Arial"/>
                <w:color w:val="auto"/>
              </w:rPr>
            </w:pPr>
            <w:r w:rsidRPr="00EA73E9">
              <w:rPr>
                <w:rFonts w:cs="Arial"/>
                <w:color w:val="auto"/>
              </w:rPr>
              <w:t>Escalating or reporting breaches (to the C</w:t>
            </w:r>
            <w:r w:rsidR="006F7E71">
              <w:rPr>
                <w:rFonts w:cs="Arial"/>
                <w:color w:val="auto"/>
              </w:rPr>
              <w:t xml:space="preserve">hief </w:t>
            </w:r>
            <w:r w:rsidRPr="00EA73E9">
              <w:rPr>
                <w:rFonts w:cs="Arial"/>
                <w:color w:val="auto"/>
              </w:rPr>
              <w:t>E</w:t>
            </w:r>
            <w:r w:rsidR="006F7E71">
              <w:rPr>
                <w:rFonts w:cs="Arial"/>
                <w:color w:val="auto"/>
              </w:rPr>
              <w:t xml:space="preserve">xecutive </w:t>
            </w:r>
            <w:r w:rsidRPr="00EA73E9">
              <w:rPr>
                <w:rFonts w:cs="Arial"/>
                <w:color w:val="auto"/>
              </w:rPr>
              <w:t>O</w:t>
            </w:r>
            <w:r w:rsidR="006F7E71">
              <w:rPr>
                <w:rFonts w:cs="Arial"/>
                <w:color w:val="auto"/>
              </w:rPr>
              <w:t>fficer</w:t>
            </w:r>
            <w:r w:rsidRPr="00EA73E9">
              <w:rPr>
                <w:rFonts w:cs="Arial"/>
                <w:color w:val="auto"/>
              </w:rPr>
              <w:t xml:space="preserve">, board, or regulators) </w:t>
            </w:r>
          </w:p>
          <w:p w14:paraId="66B2CE0F" w14:textId="77777777" w:rsidR="00053224" w:rsidRPr="00EA73E9" w:rsidRDefault="00053224" w:rsidP="00053224">
            <w:pPr>
              <w:pStyle w:val="BULLET1"/>
              <w:spacing w:after="120"/>
              <w:ind w:left="360" w:hanging="360"/>
              <w:rPr>
                <w:rFonts w:cs="Arial"/>
                <w:color w:val="auto"/>
              </w:rPr>
            </w:pPr>
            <w:r w:rsidRPr="00EA73E9">
              <w:rPr>
                <w:rFonts w:cs="Arial"/>
                <w:color w:val="auto"/>
              </w:rPr>
              <w:t xml:space="preserve">Products and services – design, distribution, compliance </w:t>
            </w:r>
          </w:p>
          <w:p w14:paraId="7498011E" w14:textId="77777777" w:rsidR="00053224" w:rsidRPr="00EA73E9" w:rsidRDefault="00053224" w:rsidP="00053224">
            <w:pPr>
              <w:pStyle w:val="BULLET1"/>
              <w:spacing w:after="120"/>
              <w:ind w:left="360" w:hanging="360"/>
              <w:rPr>
                <w:rFonts w:cs="Arial"/>
                <w:color w:val="auto"/>
              </w:rPr>
            </w:pPr>
            <w:r w:rsidRPr="00EA73E9">
              <w:rPr>
                <w:rFonts w:cs="Arial"/>
                <w:color w:val="auto"/>
              </w:rPr>
              <w:t>Prudent lending standards, including responsible lending obligations</w:t>
            </w:r>
          </w:p>
          <w:p w14:paraId="066FDCC7" w14:textId="77777777" w:rsidR="00053224" w:rsidRPr="00EA73E9" w:rsidRDefault="00053224" w:rsidP="00053224">
            <w:pPr>
              <w:pStyle w:val="BULLET1"/>
              <w:spacing w:after="120"/>
              <w:ind w:left="360" w:hanging="360"/>
              <w:rPr>
                <w:rFonts w:cs="Arial"/>
                <w:color w:val="auto"/>
              </w:rPr>
            </w:pPr>
            <w:r w:rsidRPr="00EA73E9">
              <w:rPr>
                <w:rFonts w:cs="Arial"/>
                <w:color w:val="auto"/>
              </w:rPr>
              <w:t>Consumer complaint handling</w:t>
            </w:r>
          </w:p>
        </w:tc>
      </w:tr>
    </w:tbl>
    <w:p w14:paraId="7B451686" w14:textId="40B47CF1" w:rsidR="00C67AEE" w:rsidRPr="007B1949" w:rsidRDefault="00C67AEE" w:rsidP="00C67AEE">
      <w:pPr>
        <w:jc w:val="left"/>
        <w:rPr>
          <w:b/>
        </w:rPr>
      </w:pPr>
      <w:r w:rsidRPr="007B1949">
        <w:rPr>
          <w:b/>
        </w:rPr>
        <w:t xml:space="preserve">Section 3: </w:t>
      </w:r>
      <w:r w:rsidR="00BF3AAB">
        <w:rPr>
          <w:b/>
        </w:rPr>
        <w:t>Limitations and e</w:t>
      </w:r>
      <w:r w:rsidRPr="007B1949">
        <w:rPr>
          <w:b/>
        </w:rPr>
        <w:t>xclusions</w:t>
      </w:r>
    </w:p>
    <w:p w14:paraId="1A44E7DB" w14:textId="2BD6065D" w:rsidR="008529F0" w:rsidRDefault="00053224" w:rsidP="008529F0">
      <w:r>
        <w:t xml:space="preserve">In Section 3, </w:t>
      </w:r>
      <w:r w:rsidR="008529F0">
        <w:t xml:space="preserve">detail any </w:t>
      </w:r>
      <w:r w:rsidR="008529F0" w:rsidRPr="008529F0">
        <w:t xml:space="preserve">limitations on and exclusions of accountabilities. </w:t>
      </w:r>
      <w:r w:rsidR="008529F0" w:rsidRPr="00F86A8A">
        <w:t>Caveats or limitations to accountability should be used</w:t>
      </w:r>
      <w:r w:rsidR="00EA3107">
        <w:t xml:space="preserve"> to the</w:t>
      </w:r>
      <w:r w:rsidR="008529F0" w:rsidRPr="00F86A8A">
        <w:t xml:space="preserve"> minimum</w:t>
      </w:r>
      <w:r w:rsidR="00EA3107">
        <w:t xml:space="preserve"> extent possible</w:t>
      </w:r>
      <w:r w:rsidR="008529F0" w:rsidRPr="00F86A8A">
        <w:t xml:space="preserve">. Where there are </w:t>
      </w:r>
      <w:r w:rsidR="008527A2">
        <w:t xml:space="preserve">limitations or exclusions </w:t>
      </w:r>
      <w:r w:rsidR="008529F0" w:rsidRPr="00F86A8A">
        <w:t>to accountabilities, there should be clarity about where the residual accountability resides</w:t>
      </w:r>
      <w:r w:rsidR="008529F0">
        <w:t xml:space="preserve">. </w:t>
      </w:r>
    </w:p>
    <w:p w14:paraId="4FDC6492" w14:textId="226DFEA3" w:rsidR="008529F0" w:rsidRPr="008529F0" w:rsidRDefault="008529F0" w:rsidP="008529F0">
      <w:pPr>
        <w:pStyle w:val="BULLET1"/>
        <w:numPr>
          <w:ilvl w:val="0"/>
          <w:numId w:val="0"/>
        </w:numPr>
      </w:pPr>
      <w:r>
        <w:t>W</w:t>
      </w:r>
      <w:r w:rsidRPr="00F86A8A">
        <w:t xml:space="preserve">hen considered collectively, </w:t>
      </w:r>
      <w:r>
        <w:t xml:space="preserve">accountability statements should </w:t>
      </w:r>
      <w:r w:rsidRPr="00F86A8A">
        <w:t>articulate and delineate acc</w:t>
      </w:r>
      <w:r>
        <w:t>ountability across an ADI</w:t>
      </w:r>
      <w:r w:rsidR="00CE6E54">
        <w:t xml:space="preserve"> or ADI</w:t>
      </w:r>
      <w:r>
        <w:t xml:space="preserve"> group, </w:t>
      </w:r>
      <w:r w:rsidRPr="00F86A8A">
        <w:t>with no gaps in accountability</w:t>
      </w:r>
      <w:r>
        <w:t>.</w:t>
      </w:r>
    </w:p>
    <w:p w14:paraId="19115FED" w14:textId="77777777" w:rsidR="00C67AEE" w:rsidRPr="00B6750B" w:rsidRDefault="00C67AEE" w:rsidP="00C67AEE">
      <w:pPr>
        <w:spacing w:after="120" w:line="288" w:lineRule="auto"/>
        <w:jc w:val="left"/>
        <w:rPr>
          <w:b/>
        </w:rPr>
      </w:pPr>
      <w:r w:rsidRPr="00B6750B">
        <w:rPr>
          <w:b/>
        </w:rPr>
        <w:t xml:space="preserve">Section </w:t>
      </w:r>
      <w:r>
        <w:rPr>
          <w:b/>
        </w:rPr>
        <w:t>4</w:t>
      </w:r>
      <w:r w:rsidRPr="00B6750B">
        <w:rPr>
          <w:b/>
        </w:rPr>
        <w:t xml:space="preserve">: </w:t>
      </w:r>
      <w:r>
        <w:rPr>
          <w:b/>
        </w:rPr>
        <w:t>Acknowledgement</w:t>
      </w:r>
    </w:p>
    <w:p w14:paraId="10CC3B42" w14:textId="20FDBED5" w:rsidR="00C67AEE" w:rsidRPr="00B531B4" w:rsidRDefault="00083E3E" w:rsidP="008527A2">
      <w:r w:rsidRPr="00433D77">
        <w:t xml:space="preserve">APRA expects individuals nominated as accountable persons to be </w:t>
      </w:r>
      <w:r>
        <w:t xml:space="preserve">closely </w:t>
      </w:r>
      <w:r w:rsidRPr="00433D77">
        <w:t xml:space="preserve">involved in the development of their </w:t>
      </w:r>
      <w:r>
        <w:t xml:space="preserve">own </w:t>
      </w:r>
      <w:r w:rsidRPr="00433D77">
        <w:t xml:space="preserve">accountability statement and to have read, understood and accepted the areas of accountability as drafted, as well as the accountability obligations of an accountable person under the </w:t>
      </w:r>
      <w:r w:rsidR="00CB11ED">
        <w:t>Act</w:t>
      </w:r>
      <w:r w:rsidRPr="00433D77">
        <w:t xml:space="preserve">. APRA expects individual accountable persons to sign their accountability statement with </w:t>
      </w:r>
      <w:r>
        <w:t>a</w:t>
      </w:r>
      <w:r w:rsidRPr="00433D77">
        <w:t xml:space="preserve"> brief acknowledgement that this has occurred</w:t>
      </w:r>
      <w:r>
        <w:t>.</w:t>
      </w:r>
      <w:r w:rsidRPr="00551654">
        <w:t xml:space="preserve"> </w:t>
      </w:r>
      <w:r w:rsidR="007F083D">
        <w:t>APRA’s preferred wording of t</w:t>
      </w:r>
      <w:r w:rsidR="008527A2">
        <w:t xml:space="preserve">his acknowledgement has been </w:t>
      </w:r>
      <w:r>
        <w:t>provided in the</w:t>
      </w:r>
      <w:r w:rsidR="00CE6E54">
        <w:t xml:space="preserve"> </w:t>
      </w:r>
      <w:r>
        <w:t>template.</w:t>
      </w:r>
    </w:p>
    <w:sectPr w:rsidR="00C67AEE" w:rsidRPr="00B531B4" w:rsidSect="00821B8B">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CD76B" w14:textId="77777777" w:rsidR="00B823B4" w:rsidRDefault="00B823B4" w:rsidP="007A463E">
      <w:pPr>
        <w:spacing w:after="0"/>
      </w:pPr>
      <w:r>
        <w:separator/>
      </w:r>
    </w:p>
    <w:p w14:paraId="2660F804" w14:textId="77777777" w:rsidR="00B823B4" w:rsidRDefault="00B823B4"/>
  </w:endnote>
  <w:endnote w:type="continuationSeparator" w:id="0">
    <w:p w14:paraId="2F2DAF15" w14:textId="77777777" w:rsidR="00B823B4" w:rsidRDefault="00B823B4" w:rsidP="007A463E">
      <w:pPr>
        <w:spacing w:after="0"/>
      </w:pPr>
      <w:r>
        <w:continuationSeparator/>
      </w:r>
    </w:p>
    <w:p w14:paraId="06A290D3" w14:textId="77777777" w:rsidR="00B823B4" w:rsidRDefault="00B823B4"/>
  </w:endnote>
  <w:endnote w:type="continuationNotice" w:id="1">
    <w:p w14:paraId="37170B80" w14:textId="77777777" w:rsidR="00B823B4" w:rsidRDefault="00B823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OT Light">
    <w:panose1 w:val="020B0504020201010104"/>
    <w:charset w:val="00"/>
    <w:family w:val="swiss"/>
    <w:pitch w:val="variable"/>
    <w:sig w:usb0="800000EF" w:usb1="4000A47B"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DIN OT Medium">
    <w:panose1 w:val="020B0604020201010104"/>
    <w:charset w:val="00"/>
    <w:family w:val="swiss"/>
    <w:pitch w:val="variable"/>
    <w:sig w:usb0="800000EF" w:usb1="4000A47B"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DD418" w14:textId="77777777" w:rsidR="00277452" w:rsidRDefault="002774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9329948"/>
      <w:docPartObj>
        <w:docPartGallery w:val="Page Numbers (Bottom of Page)"/>
        <w:docPartUnique/>
      </w:docPartObj>
    </w:sdtPr>
    <w:sdtEndPr/>
    <w:sdtContent>
      <w:sdt>
        <w:sdtPr>
          <w:id w:val="860082579"/>
          <w:docPartObj>
            <w:docPartGallery w:val="Page Numbers (Top of Page)"/>
            <w:docPartUnique/>
          </w:docPartObj>
        </w:sdtPr>
        <w:sdtEndPr/>
        <w:sdtContent>
          <w:p w14:paraId="406EBC3A" w14:textId="409B560D" w:rsidR="00B823B4" w:rsidRDefault="00B823B4">
            <w:pPr>
              <w:pStyle w:val="Footer"/>
            </w:pPr>
            <w:r>
              <w:t xml:space="preserve">Page </w:t>
            </w:r>
            <w:r>
              <w:rPr>
                <w:b/>
                <w:bCs/>
                <w:sz w:val="24"/>
              </w:rPr>
              <w:fldChar w:fldCharType="begin"/>
            </w:r>
            <w:r>
              <w:rPr>
                <w:b/>
                <w:bCs/>
              </w:rPr>
              <w:instrText xml:space="preserve"> PAGE </w:instrText>
            </w:r>
            <w:r>
              <w:rPr>
                <w:b/>
                <w:bCs/>
                <w:sz w:val="24"/>
              </w:rPr>
              <w:fldChar w:fldCharType="separate"/>
            </w:r>
            <w:r w:rsidR="007952A3">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7952A3">
              <w:rPr>
                <w:b/>
                <w:bCs/>
                <w:noProof/>
              </w:rPr>
              <w:t>2</w:t>
            </w:r>
            <w:r>
              <w:rPr>
                <w:b/>
                <w:bCs/>
                <w:sz w:val="24"/>
              </w:rPr>
              <w:fldChar w:fldCharType="end"/>
            </w:r>
          </w:p>
        </w:sdtContent>
      </w:sdt>
    </w:sdtContent>
  </w:sdt>
  <w:p w14:paraId="1C20E393" w14:textId="77777777" w:rsidR="00B823B4" w:rsidRDefault="00B823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2D92C" w14:textId="77777777" w:rsidR="00277452" w:rsidRDefault="002774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DC7A8" w14:textId="77777777" w:rsidR="00B823B4" w:rsidRDefault="00B823B4" w:rsidP="007A463E">
      <w:pPr>
        <w:spacing w:after="0"/>
      </w:pPr>
      <w:r>
        <w:separator/>
      </w:r>
    </w:p>
    <w:p w14:paraId="625156E4" w14:textId="77777777" w:rsidR="00B823B4" w:rsidRDefault="00B823B4"/>
  </w:footnote>
  <w:footnote w:type="continuationSeparator" w:id="0">
    <w:p w14:paraId="5DEE2EA3" w14:textId="77777777" w:rsidR="00B823B4" w:rsidRDefault="00B823B4" w:rsidP="007A463E">
      <w:pPr>
        <w:spacing w:after="0"/>
      </w:pPr>
      <w:r>
        <w:continuationSeparator/>
      </w:r>
    </w:p>
    <w:p w14:paraId="15800A8B" w14:textId="77777777" w:rsidR="00B823B4" w:rsidRDefault="00B823B4"/>
  </w:footnote>
  <w:footnote w:type="continuationNotice" w:id="1">
    <w:p w14:paraId="521A072F" w14:textId="77777777" w:rsidR="00B823B4" w:rsidRDefault="00B823B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C3CAD" w14:textId="77777777" w:rsidR="00277452" w:rsidRDefault="002774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1DA85" w14:textId="77777777" w:rsidR="00B823B4" w:rsidRPr="00665727" w:rsidRDefault="00B823B4" w:rsidP="00665727">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359DA" w14:textId="77777777" w:rsidR="00B823B4" w:rsidRDefault="00B823B4" w:rsidP="001D3B1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5E320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989E8622"/>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767836BE"/>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B25284C2"/>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25DA7400"/>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00921E05"/>
    <w:multiLevelType w:val="hybridMultilevel"/>
    <w:tmpl w:val="AED81594"/>
    <w:lvl w:ilvl="0" w:tplc="8528B9EC">
      <w:start w:val="1"/>
      <w:numFmt w:val="bullet"/>
      <w:pStyle w:val="BULLET3"/>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01776129"/>
    <w:multiLevelType w:val="hybridMultilevel"/>
    <w:tmpl w:val="2E3885DE"/>
    <w:lvl w:ilvl="0" w:tplc="4D169E66">
      <w:start w:val="1"/>
      <w:numFmt w:val="bullet"/>
      <w:pStyle w:val="BULLET2"/>
      <w:lvlText w:val="―"/>
      <w:lvlJc w:val="left"/>
      <w:pPr>
        <w:ind w:left="785" w:hanging="360"/>
      </w:pPr>
      <w:rPr>
        <w:rFonts w:ascii="Trebuchet MS" w:hAnsi="Trebuchet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6C12A2"/>
    <w:multiLevelType w:val="hybridMultilevel"/>
    <w:tmpl w:val="C3788E00"/>
    <w:lvl w:ilvl="0" w:tplc="0C090001">
      <w:start w:val="1"/>
      <w:numFmt w:val="bullet"/>
      <w:lvlText w:val=""/>
      <w:lvlJc w:val="left"/>
      <w:pPr>
        <w:tabs>
          <w:tab w:val="num" w:pos="720"/>
        </w:tabs>
        <w:ind w:left="720" w:hanging="360"/>
      </w:pPr>
      <w:rPr>
        <w:rFonts w:ascii="Symbol" w:hAnsi="Symbol" w:hint="default"/>
      </w:rPr>
    </w:lvl>
    <w:lvl w:ilvl="1" w:tplc="AB22E4FE">
      <w:start w:val="1"/>
      <w:numFmt w:val="bullet"/>
      <w:lvlText w:val=""/>
      <w:lvlJc w:val="left"/>
      <w:pPr>
        <w:tabs>
          <w:tab w:val="num" w:pos="397"/>
        </w:tabs>
        <w:ind w:left="397" w:hanging="397"/>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1409B1"/>
    <w:multiLevelType w:val="multilevel"/>
    <w:tmpl w:val="0C09001F"/>
    <w:numStyleLink w:val="111111"/>
  </w:abstractNum>
  <w:abstractNum w:abstractNumId="9" w15:restartNumberingAfterBreak="0">
    <w:nsid w:val="255444F2"/>
    <w:multiLevelType w:val="multilevel"/>
    <w:tmpl w:val="0C09001F"/>
    <w:styleLink w:val="111111"/>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3D39BC"/>
    <w:multiLevelType w:val="hybridMultilevel"/>
    <w:tmpl w:val="2B9A00A8"/>
    <w:lvl w:ilvl="0" w:tplc="0C090001">
      <w:start w:val="1"/>
      <w:numFmt w:val="bullet"/>
      <w:lvlText w:val=""/>
      <w:lvlJc w:val="left"/>
      <w:pPr>
        <w:ind w:left="720" w:hanging="360"/>
      </w:pPr>
      <w:rPr>
        <w:rFonts w:ascii="Symbol" w:hAnsi="Symbol" w:hint="default"/>
      </w:rPr>
    </w:lvl>
    <w:lvl w:ilvl="1" w:tplc="C786E60E">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6E2E20"/>
    <w:multiLevelType w:val="hybridMultilevel"/>
    <w:tmpl w:val="53A2E68C"/>
    <w:lvl w:ilvl="0" w:tplc="1C60E128">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3F2167"/>
    <w:multiLevelType w:val="hybridMultilevel"/>
    <w:tmpl w:val="9DA2E1D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8B7674"/>
    <w:multiLevelType w:val="hybridMultilevel"/>
    <w:tmpl w:val="DED8829A"/>
    <w:lvl w:ilvl="0" w:tplc="6114DC0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3505AF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6331905"/>
    <w:multiLevelType w:val="hybridMultilevel"/>
    <w:tmpl w:val="361A00BA"/>
    <w:lvl w:ilvl="0" w:tplc="BBE030CE">
      <w:start w:val="1"/>
      <w:numFmt w:val="decimal"/>
      <w:pStyle w:val="FigureHeadNumber"/>
      <w:lvlText w:val="Figure %1"/>
      <w:lvlJc w:val="left"/>
      <w:pPr>
        <w:ind w:left="747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8182454"/>
    <w:multiLevelType w:val="hybridMultilevel"/>
    <w:tmpl w:val="CD329FBE"/>
    <w:lvl w:ilvl="0" w:tplc="1BC6DF98">
      <w:numFmt w:val="bullet"/>
      <w:lvlText w:val="•"/>
      <w:lvlJc w:val="left"/>
      <w:pPr>
        <w:ind w:left="1080" w:hanging="720"/>
      </w:pPr>
      <w:rPr>
        <w:rFonts w:ascii="DIN OT Light" w:eastAsiaTheme="minorHAnsi" w:hAnsi="DIN OT Light" w:cs="Times New Roman" w:hint="default"/>
      </w:rPr>
    </w:lvl>
    <w:lvl w:ilvl="1" w:tplc="DB24A7B2">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76594"/>
    <w:multiLevelType w:val="multilevel"/>
    <w:tmpl w:val="6B24E690"/>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710A4DD0"/>
    <w:multiLevelType w:val="hybridMultilevel"/>
    <w:tmpl w:val="A49C8A28"/>
    <w:lvl w:ilvl="0" w:tplc="687260A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7BB35E31"/>
    <w:multiLevelType w:val="hybridMultilevel"/>
    <w:tmpl w:val="FDD470F8"/>
    <w:lvl w:ilvl="0" w:tplc="9FE46678">
      <w:start w:val="1"/>
      <w:numFmt w:val="bullet"/>
      <w:lvlText w:val="o"/>
      <w:lvlJc w:val="left"/>
      <w:pPr>
        <w:ind w:left="1930" w:hanging="360"/>
      </w:pPr>
      <w:rPr>
        <w:rFonts w:ascii="Courier New" w:hAnsi="Courier New" w:cs="Courier New" w:hint="default"/>
      </w:rPr>
    </w:lvl>
    <w:lvl w:ilvl="1" w:tplc="0C090003" w:tentative="1">
      <w:start w:val="1"/>
      <w:numFmt w:val="bullet"/>
      <w:lvlText w:val="o"/>
      <w:lvlJc w:val="left"/>
      <w:pPr>
        <w:ind w:left="2650" w:hanging="360"/>
      </w:pPr>
      <w:rPr>
        <w:rFonts w:ascii="Courier New" w:hAnsi="Courier New" w:cs="Courier New" w:hint="default"/>
      </w:rPr>
    </w:lvl>
    <w:lvl w:ilvl="2" w:tplc="0C090005" w:tentative="1">
      <w:start w:val="1"/>
      <w:numFmt w:val="bullet"/>
      <w:lvlText w:val=""/>
      <w:lvlJc w:val="left"/>
      <w:pPr>
        <w:ind w:left="3370" w:hanging="360"/>
      </w:pPr>
      <w:rPr>
        <w:rFonts w:ascii="Wingdings" w:hAnsi="Wingdings" w:hint="default"/>
      </w:rPr>
    </w:lvl>
    <w:lvl w:ilvl="3" w:tplc="0C090001" w:tentative="1">
      <w:start w:val="1"/>
      <w:numFmt w:val="bullet"/>
      <w:lvlText w:val=""/>
      <w:lvlJc w:val="left"/>
      <w:pPr>
        <w:ind w:left="4090" w:hanging="360"/>
      </w:pPr>
      <w:rPr>
        <w:rFonts w:ascii="Symbol" w:hAnsi="Symbol" w:hint="default"/>
      </w:rPr>
    </w:lvl>
    <w:lvl w:ilvl="4" w:tplc="0C090003" w:tentative="1">
      <w:start w:val="1"/>
      <w:numFmt w:val="bullet"/>
      <w:lvlText w:val="o"/>
      <w:lvlJc w:val="left"/>
      <w:pPr>
        <w:ind w:left="4810" w:hanging="360"/>
      </w:pPr>
      <w:rPr>
        <w:rFonts w:ascii="Courier New" w:hAnsi="Courier New" w:cs="Courier New" w:hint="default"/>
      </w:rPr>
    </w:lvl>
    <w:lvl w:ilvl="5" w:tplc="0C090005" w:tentative="1">
      <w:start w:val="1"/>
      <w:numFmt w:val="bullet"/>
      <w:lvlText w:val=""/>
      <w:lvlJc w:val="left"/>
      <w:pPr>
        <w:ind w:left="5530" w:hanging="360"/>
      </w:pPr>
      <w:rPr>
        <w:rFonts w:ascii="Wingdings" w:hAnsi="Wingdings" w:hint="default"/>
      </w:rPr>
    </w:lvl>
    <w:lvl w:ilvl="6" w:tplc="0C090001" w:tentative="1">
      <w:start w:val="1"/>
      <w:numFmt w:val="bullet"/>
      <w:lvlText w:val=""/>
      <w:lvlJc w:val="left"/>
      <w:pPr>
        <w:ind w:left="6250" w:hanging="360"/>
      </w:pPr>
      <w:rPr>
        <w:rFonts w:ascii="Symbol" w:hAnsi="Symbol" w:hint="default"/>
      </w:rPr>
    </w:lvl>
    <w:lvl w:ilvl="7" w:tplc="0C090003" w:tentative="1">
      <w:start w:val="1"/>
      <w:numFmt w:val="bullet"/>
      <w:lvlText w:val="o"/>
      <w:lvlJc w:val="left"/>
      <w:pPr>
        <w:ind w:left="6970" w:hanging="360"/>
      </w:pPr>
      <w:rPr>
        <w:rFonts w:ascii="Courier New" w:hAnsi="Courier New" w:cs="Courier New" w:hint="default"/>
      </w:rPr>
    </w:lvl>
    <w:lvl w:ilvl="8" w:tplc="0C090005" w:tentative="1">
      <w:start w:val="1"/>
      <w:numFmt w:val="bullet"/>
      <w:lvlText w:val=""/>
      <w:lvlJc w:val="left"/>
      <w:pPr>
        <w:ind w:left="7690" w:hanging="360"/>
      </w:pPr>
      <w:rPr>
        <w:rFonts w:ascii="Wingdings" w:hAnsi="Wingdings" w:hint="default"/>
      </w:rPr>
    </w:lvl>
  </w:abstractNum>
  <w:num w:numId="1">
    <w:abstractNumId w:val="9"/>
  </w:num>
  <w:num w:numId="2">
    <w:abstractNumId w:val="17"/>
  </w:num>
  <w:num w:numId="3">
    <w:abstractNumId w:val="12"/>
  </w:num>
  <w:num w:numId="4">
    <w:abstractNumId w:val="4"/>
  </w:num>
  <w:num w:numId="5">
    <w:abstractNumId w:val="3"/>
  </w:num>
  <w:num w:numId="6">
    <w:abstractNumId w:val="2"/>
  </w:num>
  <w:num w:numId="7">
    <w:abstractNumId w:val="1"/>
  </w:num>
  <w:num w:numId="8">
    <w:abstractNumId w:val="0"/>
  </w:num>
  <w:num w:numId="9">
    <w:abstractNumId w:val="8"/>
  </w:num>
  <w:num w:numId="10">
    <w:abstractNumId w:val="18"/>
  </w:num>
  <w:num w:numId="11">
    <w:abstractNumId w:val="7"/>
  </w:num>
  <w:num w:numId="12">
    <w:abstractNumId w:val="19"/>
  </w:num>
  <w:num w:numId="13">
    <w:abstractNumId w:val="11"/>
  </w:num>
  <w:num w:numId="14">
    <w:abstractNumId w:val="6"/>
  </w:num>
  <w:num w:numId="15">
    <w:abstractNumId w:val="5"/>
  </w:num>
  <w:num w:numId="16">
    <w:abstractNumId w:val="14"/>
  </w:num>
  <w:num w:numId="17">
    <w:abstractNumId w:val="10"/>
  </w:num>
  <w:num w:numId="18">
    <w:abstractNumId w:val="13"/>
  </w:num>
  <w:num w:numId="19">
    <w:abstractNumId w:val="16"/>
  </w:num>
  <w:num w:numId="20">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B8B"/>
    <w:rsid w:val="00003065"/>
    <w:rsid w:val="00011B0A"/>
    <w:rsid w:val="00013D57"/>
    <w:rsid w:val="00024892"/>
    <w:rsid w:val="0002664F"/>
    <w:rsid w:val="00037AB7"/>
    <w:rsid w:val="000408CA"/>
    <w:rsid w:val="00044AB5"/>
    <w:rsid w:val="00053224"/>
    <w:rsid w:val="00053F0B"/>
    <w:rsid w:val="00054FB4"/>
    <w:rsid w:val="00055F56"/>
    <w:rsid w:val="00063BDC"/>
    <w:rsid w:val="00081461"/>
    <w:rsid w:val="00083E3E"/>
    <w:rsid w:val="0009432F"/>
    <w:rsid w:val="000A1A18"/>
    <w:rsid w:val="000B0728"/>
    <w:rsid w:val="000B07E3"/>
    <w:rsid w:val="000C170D"/>
    <w:rsid w:val="000C6B7D"/>
    <w:rsid w:val="000D09FA"/>
    <w:rsid w:val="000D2086"/>
    <w:rsid w:val="000D2D92"/>
    <w:rsid w:val="000D31F1"/>
    <w:rsid w:val="000D637A"/>
    <w:rsid w:val="000D7CA6"/>
    <w:rsid w:val="000E057F"/>
    <w:rsid w:val="000E793E"/>
    <w:rsid w:val="000F0ECC"/>
    <w:rsid w:val="000F19EB"/>
    <w:rsid w:val="000F20CF"/>
    <w:rsid w:val="0011279A"/>
    <w:rsid w:val="00117295"/>
    <w:rsid w:val="00134EF1"/>
    <w:rsid w:val="001502F1"/>
    <w:rsid w:val="001749A4"/>
    <w:rsid w:val="0017548F"/>
    <w:rsid w:val="0018719B"/>
    <w:rsid w:val="00194E9D"/>
    <w:rsid w:val="00196BAA"/>
    <w:rsid w:val="001A5EF9"/>
    <w:rsid w:val="001A7371"/>
    <w:rsid w:val="001B2D90"/>
    <w:rsid w:val="001C4556"/>
    <w:rsid w:val="001D3046"/>
    <w:rsid w:val="001D3B1C"/>
    <w:rsid w:val="001D505A"/>
    <w:rsid w:val="001D6D2F"/>
    <w:rsid w:val="001D7D3C"/>
    <w:rsid w:val="001E00D2"/>
    <w:rsid w:val="001F6BB3"/>
    <w:rsid w:val="001F7546"/>
    <w:rsid w:val="001F75BB"/>
    <w:rsid w:val="002075FB"/>
    <w:rsid w:val="0021143E"/>
    <w:rsid w:val="0021170D"/>
    <w:rsid w:val="002403C8"/>
    <w:rsid w:val="002567EC"/>
    <w:rsid w:val="00257E33"/>
    <w:rsid w:val="0026542C"/>
    <w:rsid w:val="00267EBC"/>
    <w:rsid w:val="002767C9"/>
    <w:rsid w:val="00277452"/>
    <w:rsid w:val="002A5E1C"/>
    <w:rsid w:val="002A7CA9"/>
    <w:rsid w:val="002B0A7E"/>
    <w:rsid w:val="002B0B89"/>
    <w:rsid w:val="002B6F5E"/>
    <w:rsid w:val="002C3326"/>
    <w:rsid w:val="002D3FFC"/>
    <w:rsid w:val="002E5E2A"/>
    <w:rsid w:val="002E71DA"/>
    <w:rsid w:val="002F0157"/>
    <w:rsid w:val="002F2C29"/>
    <w:rsid w:val="002F5035"/>
    <w:rsid w:val="00301755"/>
    <w:rsid w:val="00302CFE"/>
    <w:rsid w:val="003128C4"/>
    <w:rsid w:val="00314D0F"/>
    <w:rsid w:val="00325932"/>
    <w:rsid w:val="00332DB9"/>
    <w:rsid w:val="00336463"/>
    <w:rsid w:val="00340359"/>
    <w:rsid w:val="00342C54"/>
    <w:rsid w:val="00353DE2"/>
    <w:rsid w:val="0036442A"/>
    <w:rsid w:val="00367A5D"/>
    <w:rsid w:val="003707EE"/>
    <w:rsid w:val="00373B0D"/>
    <w:rsid w:val="00374401"/>
    <w:rsid w:val="003766FD"/>
    <w:rsid w:val="00387CA2"/>
    <w:rsid w:val="003A2FC2"/>
    <w:rsid w:val="003A7310"/>
    <w:rsid w:val="003B5468"/>
    <w:rsid w:val="003B5492"/>
    <w:rsid w:val="003C5C77"/>
    <w:rsid w:val="003C5FA9"/>
    <w:rsid w:val="003C6CBE"/>
    <w:rsid w:val="003C72EF"/>
    <w:rsid w:val="003D6738"/>
    <w:rsid w:val="003E26E1"/>
    <w:rsid w:val="004118D9"/>
    <w:rsid w:val="0042676E"/>
    <w:rsid w:val="00427B33"/>
    <w:rsid w:val="00432EA2"/>
    <w:rsid w:val="0043440F"/>
    <w:rsid w:val="00435E56"/>
    <w:rsid w:val="00444BF0"/>
    <w:rsid w:val="004A6C98"/>
    <w:rsid w:val="004B4492"/>
    <w:rsid w:val="004C2B5F"/>
    <w:rsid w:val="004C2EC4"/>
    <w:rsid w:val="004D7117"/>
    <w:rsid w:val="004E13AF"/>
    <w:rsid w:val="004E295D"/>
    <w:rsid w:val="004E4197"/>
    <w:rsid w:val="004F27CF"/>
    <w:rsid w:val="004F3E55"/>
    <w:rsid w:val="004F5AE6"/>
    <w:rsid w:val="005140BD"/>
    <w:rsid w:val="005239E7"/>
    <w:rsid w:val="00547263"/>
    <w:rsid w:val="00552CA7"/>
    <w:rsid w:val="00553DB4"/>
    <w:rsid w:val="00574C8C"/>
    <w:rsid w:val="00584A8F"/>
    <w:rsid w:val="005C6BE5"/>
    <w:rsid w:val="005D0B85"/>
    <w:rsid w:val="005E6AF8"/>
    <w:rsid w:val="005F4764"/>
    <w:rsid w:val="00606F5A"/>
    <w:rsid w:val="0060742D"/>
    <w:rsid w:val="006128BA"/>
    <w:rsid w:val="00615AEF"/>
    <w:rsid w:val="00624090"/>
    <w:rsid w:val="0063206C"/>
    <w:rsid w:val="006352A2"/>
    <w:rsid w:val="0063796F"/>
    <w:rsid w:val="00646C7A"/>
    <w:rsid w:val="00652B9F"/>
    <w:rsid w:val="006549E5"/>
    <w:rsid w:val="00654B70"/>
    <w:rsid w:val="006571E9"/>
    <w:rsid w:val="0065764B"/>
    <w:rsid w:val="00661752"/>
    <w:rsid w:val="00665727"/>
    <w:rsid w:val="00667DFE"/>
    <w:rsid w:val="00677A36"/>
    <w:rsid w:val="0068245A"/>
    <w:rsid w:val="00686723"/>
    <w:rsid w:val="0068743E"/>
    <w:rsid w:val="00694DA6"/>
    <w:rsid w:val="006A152E"/>
    <w:rsid w:val="006A197C"/>
    <w:rsid w:val="006A4184"/>
    <w:rsid w:val="006A5169"/>
    <w:rsid w:val="006B24AC"/>
    <w:rsid w:val="006B2F1B"/>
    <w:rsid w:val="006B712D"/>
    <w:rsid w:val="006C1429"/>
    <w:rsid w:val="006E1133"/>
    <w:rsid w:val="006E4003"/>
    <w:rsid w:val="006F7E71"/>
    <w:rsid w:val="007032FF"/>
    <w:rsid w:val="00714C69"/>
    <w:rsid w:val="007236E2"/>
    <w:rsid w:val="0072796F"/>
    <w:rsid w:val="007403DD"/>
    <w:rsid w:val="0074568D"/>
    <w:rsid w:val="0074761E"/>
    <w:rsid w:val="00747747"/>
    <w:rsid w:val="00756929"/>
    <w:rsid w:val="0076403B"/>
    <w:rsid w:val="007777F8"/>
    <w:rsid w:val="007778CA"/>
    <w:rsid w:val="00781FF4"/>
    <w:rsid w:val="00785B6A"/>
    <w:rsid w:val="00786B63"/>
    <w:rsid w:val="00794D86"/>
    <w:rsid w:val="007952A3"/>
    <w:rsid w:val="007A463E"/>
    <w:rsid w:val="007A52DB"/>
    <w:rsid w:val="007B01D2"/>
    <w:rsid w:val="007B1949"/>
    <w:rsid w:val="007D5A10"/>
    <w:rsid w:val="007E217E"/>
    <w:rsid w:val="007E401F"/>
    <w:rsid w:val="007E6359"/>
    <w:rsid w:val="007F083D"/>
    <w:rsid w:val="00801533"/>
    <w:rsid w:val="00805B9C"/>
    <w:rsid w:val="00814611"/>
    <w:rsid w:val="00816255"/>
    <w:rsid w:val="008204C0"/>
    <w:rsid w:val="00821B8B"/>
    <w:rsid w:val="00821E4B"/>
    <w:rsid w:val="00834AC9"/>
    <w:rsid w:val="00835572"/>
    <w:rsid w:val="00850BDB"/>
    <w:rsid w:val="00851908"/>
    <w:rsid w:val="008527A2"/>
    <w:rsid w:val="008529F0"/>
    <w:rsid w:val="00857397"/>
    <w:rsid w:val="00857706"/>
    <w:rsid w:val="00870FFC"/>
    <w:rsid w:val="00872C71"/>
    <w:rsid w:val="00872E1D"/>
    <w:rsid w:val="008742EB"/>
    <w:rsid w:val="00875770"/>
    <w:rsid w:val="00877743"/>
    <w:rsid w:val="008A263C"/>
    <w:rsid w:val="008B3D9E"/>
    <w:rsid w:val="008B5DBD"/>
    <w:rsid w:val="008C693E"/>
    <w:rsid w:val="008C7E1A"/>
    <w:rsid w:val="008E4E64"/>
    <w:rsid w:val="008F19C6"/>
    <w:rsid w:val="00907579"/>
    <w:rsid w:val="00910073"/>
    <w:rsid w:val="00921341"/>
    <w:rsid w:val="0092261C"/>
    <w:rsid w:val="00922ADE"/>
    <w:rsid w:val="00926314"/>
    <w:rsid w:val="0092635A"/>
    <w:rsid w:val="0095466E"/>
    <w:rsid w:val="00967585"/>
    <w:rsid w:val="00970A4C"/>
    <w:rsid w:val="00981C89"/>
    <w:rsid w:val="0098213D"/>
    <w:rsid w:val="00983285"/>
    <w:rsid w:val="00991721"/>
    <w:rsid w:val="009961FE"/>
    <w:rsid w:val="009A4363"/>
    <w:rsid w:val="009B1386"/>
    <w:rsid w:val="009C44E6"/>
    <w:rsid w:val="009D009B"/>
    <w:rsid w:val="009D2A4D"/>
    <w:rsid w:val="009D75E7"/>
    <w:rsid w:val="009E519B"/>
    <w:rsid w:val="009F1036"/>
    <w:rsid w:val="009F210E"/>
    <w:rsid w:val="009F3135"/>
    <w:rsid w:val="009F53D1"/>
    <w:rsid w:val="00A00652"/>
    <w:rsid w:val="00A06EE8"/>
    <w:rsid w:val="00A138B1"/>
    <w:rsid w:val="00A17687"/>
    <w:rsid w:val="00A22ED3"/>
    <w:rsid w:val="00A23ACE"/>
    <w:rsid w:val="00A25941"/>
    <w:rsid w:val="00A30398"/>
    <w:rsid w:val="00A30827"/>
    <w:rsid w:val="00A32B0C"/>
    <w:rsid w:val="00A36C88"/>
    <w:rsid w:val="00A37017"/>
    <w:rsid w:val="00A5738A"/>
    <w:rsid w:val="00A72B65"/>
    <w:rsid w:val="00A74CCF"/>
    <w:rsid w:val="00A80075"/>
    <w:rsid w:val="00A8504B"/>
    <w:rsid w:val="00AB097B"/>
    <w:rsid w:val="00B04050"/>
    <w:rsid w:val="00B0517A"/>
    <w:rsid w:val="00B0602C"/>
    <w:rsid w:val="00B07B2F"/>
    <w:rsid w:val="00B12E7E"/>
    <w:rsid w:val="00B20CD1"/>
    <w:rsid w:val="00B21A37"/>
    <w:rsid w:val="00B24AE7"/>
    <w:rsid w:val="00B32AC0"/>
    <w:rsid w:val="00B41A05"/>
    <w:rsid w:val="00B531B4"/>
    <w:rsid w:val="00B64F10"/>
    <w:rsid w:val="00B6750B"/>
    <w:rsid w:val="00B823B4"/>
    <w:rsid w:val="00B85C6B"/>
    <w:rsid w:val="00B86EF7"/>
    <w:rsid w:val="00B8792C"/>
    <w:rsid w:val="00B95BAF"/>
    <w:rsid w:val="00B97EBC"/>
    <w:rsid w:val="00BB3C38"/>
    <w:rsid w:val="00BC03D4"/>
    <w:rsid w:val="00BC7B2C"/>
    <w:rsid w:val="00BD1127"/>
    <w:rsid w:val="00BE4632"/>
    <w:rsid w:val="00BE50BE"/>
    <w:rsid w:val="00BF014C"/>
    <w:rsid w:val="00BF3AAB"/>
    <w:rsid w:val="00C03764"/>
    <w:rsid w:val="00C03BA6"/>
    <w:rsid w:val="00C11B25"/>
    <w:rsid w:val="00C160AA"/>
    <w:rsid w:val="00C273CD"/>
    <w:rsid w:val="00C307C2"/>
    <w:rsid w:val="00C333E7"/>
    <w:rsid w:val="00C5285C"/>
    <w:rsid w:val="00C572AB"/>
    <w:rsid w:val="00C57A4A"/>
    <w:rsid w:val="00C614C0"/>
    <w:rsid w:val="00C62913"/>
    <w:rsid w:val="00C67AEE"/>
    <w:rsid w:val="00C7343C"/>
    <w:rsid w:val="00C97F58"/>
    <w:rsid w:val="00CA4919"/>
    <w:rsid w:val="00CB11ED"/>
    <w:rsid w:val="00CB7367"/>
    <w:rsid w:val="00CC05EA"/>
    <w:rsid w:val="00CC10DA"/>
    <w:rsid w:val="00CC201A"/>
    <w:rsid w:val="00CC7DAD"/>
    <w:rsid w:val="00CD3033"/>
    <w:rsid w:val="00CD6D38"/>
    <w:rsid w:val="00CE081B"/>
    <w:rsid w:val="00CE1265"/>
    <w:rsid w:val="00CE6E54"/>
    <w:rsid w:val="00CF1FC4"/>
    <w:rsid w:val="00D02242"/>
    <w:rsid w:val="00D079B4"/>
    <w:rsid w:val="00D14049"/>
    <w:rsid w:val="00D17732"/>
    <w:rsid w:val="00D21F7F"/>
    <w:rsid w:val="00D24C54"/>
    <w:rsid w:val="00D4082D"/>
    <w:rsid w:val="00D57D36"/>
    <w:rsid w:val="00D910B2"/>
    <w:rsid w:val="00D921D6"/>
    <w:rsid w:val="00D93121"/>
    <w:rsid w:val="00D932A5"/>
    <w:rsid w:val="00D95999"/>
    <w:rsid w:val="00DB376F"/>
    <w:rsid w:val="00DC0A1C"/>
    <w:rsid w:val="00DC7EF3"/>
    <w:rsid w:val="00DC7F18"/>
    <w:rsid w:val="00DD51D9"/>
    <w:rsid w:val="00DE0A59"/>
    <w:rsid w:val="00DE5F9D"/>
    <w:rsid w:val="00DF28AC"/>
    <w:rsid w:val="00E1225E"/>
    <w:rsid w:val="00E1430F"/>
    <w:rsid w:val="00E23143"/>
    <w:rsid w:val="00E32CE9"/>
    <w:rsid w:val="00E36C9E"/>
    <w:rsid w:val="00E42CB8"/>
    <w:rsid w:val="00E448C7"/>
    <w:rsid w:val="00E45B9B"/>
    <w:rsid w:val="00E4629A"/>
    <w:rsid w:val="00E47851"/>
    <w:rsid w:val="00E514D0"/>
    <w:rsid w:val="00E55A7E"/>
    <w:rsid w:val="00E63012"/>
    <w:rsid w:val="00E638F8"/>
    <w:rsid w:val="00E82CD8"/>
    <w:rsid w:val="00E83D82"/>
    <w:rsid w:val="00E96618"/>
    <w:rsid w:val="00E976FF"/>
    <w:rsid w:val="00EA3107"/>
    <w:rsid w:val="00EA73E9"/>
    <w:rsid w:val="00EC4B51"/>
    <w:rsid w:val="00ED36C8"/>
    <w:rsid w:val="00ED3926"/>
    <w:rsid w:val="00ED48F3"/>
    <w:rsid w:val="00EE083E"/>
    <w:rsid w:val="00EF496F"/>
    <w:rsid w:val="00EF5EE9"/>
    <w:rsid w:val="00F05521"/>
    <w:rsid w:val="00F065E8"/>
    <w:rsid w:val="00F12FD3"/>
    <w:rsid w:val="00F34F34"/>
    <w:rsid w:val="00F43124"/>
    <w:rsid w:val="00F46E96"/>
    <w:rsid w:val="00F641BC"/>
    <w:rsid w:val="00F6460D"/>
    <w:rsid w:val="00F64AE7"/>
    <w:rsid w:val="00F72451"/>
    <w:rsid w:val="00F77F5D"/>
    <w:rsid w:val="00F865EB"/>
    <w:rsid w:val="00F97AA4"/>
    <w:rsid w:val="00FA07F3"/>
    <w:rsid w:val="00FA1782"/>
    <w:rsid w:val="00FA261A"/>
    <w:rsid w:val="00FA2AEA"/>
    <w:rsid w:val="00FA2F99"/>
    <w:rsid w:val="00FA4ABB"/>
    <w:rsid w:val="00FC3BA3"/>
    <w:rsid w:val="00FD1E5B"/>
    <w:rsid w:val="00FD2EF8"/>
    <w:rsid w:val="00FE57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19F56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imes New Roman" w:hAnsi="Trebuchet MS" w:cs="Times New Roman"/>
        <w:sz w:val="22"/>
        <w:szCs w:val="22"/>
        <w:lang w:val="en-AU" w:eastAsia="en-US" w:bidi="ar-SA"/>
      </w:rPr>
    </w:rPrDefault>
    <w:pPrDefault>
      <w:pPr>
        <w:spacing w:after="120" w:line="28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611"/>
    <w:pPr>
      <w:spacing w:after="240" w:line="240" w:lineRule="auto"/>
      <w:jc w:val="both"/>
    </w:pPr>
    <w:rPr>
      <w:rFonts w:ascii="Arial" w:hAnsi="Arial"/>
      <w:szCs w:val="24"/>
      <w:lang w:eastAsia="en-AU"/>
    </w:rPr>
  </w:style>
  <w:style w:type="paragraph" w:styleId="Heading1">
    <w:name w:val="heading 1"/>
    <w:basedOn w:val="Normal"/>
    <w:next w:val="Normal"/>
    <w:link w:val="Heading1Char"/>
    <w:qFormat/>
    <w:rsid w:val="00C333E7"/>
    <w:pPr>
      <w:spacing w:after="360"/>
      <w:outlineLvl w:val="0"/>
    </w:pPr>
    <w:rPr>
      <w:rFonts w:cs="Arial"/>
      <w:b/>
      <w:sz w:val="32"/>
    </w:rPr>
  </w:style>
  <w:style w:type="paragraph" w:styleId="Heading2">
    <w:name w:val="heading 2"/>
    <w:basedOn w:val="Normal"/>
    <w:next w:val="Normal"/>
    <w:link w:val="Heading2Char"/>
    <w:qFormat/>
    <w:rsid w:val="004118D9"/>
    <w:pPr>
      <w:keepNext/>
      <w:outlineLvl w:val="1"/>
    </w:pPr>
    <w:rPr>
      <w:rFonts w:cs="Arial"/>
      <w:b/>
      <w:bCs/>
      <w:iCs/>
      <w:sz w:val="28"/>
      <w:szCs w:val="28"/>
    </w:rPr>
  </w:style>
  <w:style w:type="paragraph" w:styleId="Heading3">
    <w:name w:val="heading 3"/>
    <w:basedOn w:val="Normal"/>
    <w:next w:val="Normal"/>
    <w:link w:val="Heading3Char"/>
    <w:qFormat/>
    <w:rsid w:val="00CB7367"/>
    <w:pPr>
      <w:keepNext/>
      <w:spacing w:before="240" w:after="120"/>
      <w:outlineLvl w:val="2"/>
    </w:pPr>
    <w:rPr>
      <w:rFonts w:cs="Arial"/>
      <w:b/>
      <w:bCs/>
      <w:i/>
      <w:sz w:val="24"/>
      <w:szCs w:val="26"/>
    </w:rPr>
  </w:style>
  <w:style w:type="paragraph" w:styleId="Heading4">
    <w:name w:val="heading 4"/>
    <w:basedOn w:val="Heading3"/>
    <w:next w:val="Normal"/>
    <w:link w:val="Heading4Char"/>
    <w:uiPriority w:val="9"/>
    <w:unhideWhenUsed/>
    <w:qFormat/>
    <w:rsid w:val="009F3135"/>
    <w:pPr>
      <w:numPr>
        <w:ilvl w:val="3"/>
      </w:numPr>
      <w:outlineLvl w:val="3"/>
    </w:pPr>
    <w:rPr>
      <w:bCs w:val="0"/>
      <w:i w:val="0"/>
      <w:iCs/>
      <w:sz w:val="22"/>
    </w:rPr>
  </w:style>
  <w:style w:type="paragraph" w:styleId="Heading5">
    <w:name w:val="heading 5"/>
    <w:basedOn w:val="Heading4"/>
    <w:next w:val="Normal"/>
    <w:link w:val="Heading5Char"/>
    <w:uiPriority w:val="9"/>
    <w:unhideWhenUsed/>
    <w:qFormat/>
    <w:rsid w:val="009F3135"/>
    <w:pPr>
      <w:numPr>
        <w:ilvl w:val="4"/>
      </w:numPr>
      <w:outlineLvl w:val="4"/>
    </w:pPr>
    <w:rPr>
      <w:i/>
    </w:rPr>
  </w:style>
  <w:style w:type="paragraph" w:styleId="Heading6">
    <w:name w:val="heading 6"/>
    <w:basedOn w:val="Heading5"/>
    <w:next w:val="Normal"/>
    <w:link w:val="Heading6Char"/>
    <w:uiPriority w:val="9"/>
    <w:unhideWhenUsed/>
    <w:qFormat/>
    <w:rsid w:val="009F3135"/>
    <w:pPr>
      <w:numPr>
        <w:ilvl w:val="5"/>
      </w:numPr>
      <w:outlineLvl w:val="5"/>
    </w:pPr>
    <w:rPr>
      <w:b w:val="0"/>
    </w:rPr>
  </w:style>
  <w:style w:type="paragraph" w:styleId="Heading7">
    <w:name w:val="heading 7"/>
    <w:basedOn w:val="Heading6"/>
    <w:next w:val="Normal"/>
    <w:link w:val="Heading7Char"/>
    <w:uiPriority w:val="9"/>
    <w:unhideWhenUsed/>
    <w:rsid w:val="005F4764"/>
    <w:pPr>
      <w:numPr>
        <w:ilvl w:val="6"/>
      </w:numPr>
      <w:spacing w:before="200" w:line="288" w:lineRule="auto"/>
      <w:outlineLvl w:val="6"/>
    </w:pPr>
    <w:rPr>
      <w:b/>
      <w:i w:val="0"/>
      <w:color w:val="404040"/>
      <w:szCs w:val="22"/>
    </w:rPr>
  </w:style>
  <w:style w:type="paragraph" w:styleId="Heading8">
    <w:name w:val="heading 8"/>
    <w:basedOn w:val="Normal"/>
    <w:next w:val="Normal"/>
    <w:link w:val="Heading8Char"/>
    <w:uiPriority w:val="9"/>
    <w:unhideWhenUsed/>
    <w:rsid w:val="005F4764"/>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rsid w:val="005F4764"/>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5F4764"/>
    <w:pPr>
      <w:spacing w:line="240" w:lineRule="auto"/>
    </w:pPr>
    <w:rPr>
      <w:rFonts w:ascii="Arial" w:hAnsi="Arial"/>
    </w:rPr>
  </w:style>
  <w:style w:type="character" w:customStyle="1" w:styleId="Heading1Char">
    <w:name w:val="Heading 1 Char"/>
    <w:basedOn w:val="DefaultParagraphFont"/>
    <w:link w:val="Heading1"/>
    <w:rsid w:val="00C333E7"/>
    <w:rPr>
      <w:rFonts w:ascii="Arial" w:hAnsi="Arial" w:cs="Arial"/>
      <w:b/>
      <w:sz w:val="32"/>
      <w:szCs w:val="24"/>
      <w:lang w:eastAsia="en-AU"/>
    </w:rPr>
  </w:style>
  <w:style w:type="character" w:customStyle="1" w:styleId="Heading2Char">
    <w:name w:val="Heading 2 Char"/>
    <w:basedOn w:val="DefaultParagraphFont"/>
    <w:link w:val="Heading2"/>
    <w:rsid w:val="004118D9"/>
    <w:rPr>
      <w:rFonts w:ascii="Arial" w:hAnsi="Arial" w:cs="Arial"/>
      <w:b/>
      <w:bCs/>
      <w:iCs/>
      <w:sz w:val="28"/>
      <w:szCs w:val="28"/>
      <w:lang w:eastAsia="en-AU"/>
    </w:rPr>
  </w:style>
  <w:style w:type="character" w:customStyle="1" w:styleId="Heading4Char">
    <w:name w:val="Heading 4 Char"/>
    <w:link w:val="Heading4"/>
    <w:uiPriority w:val="9"/>
    <w:rsid w:val="009F3135"/>
    <w:rPr>
      <w:rFonts w:ascii="Arial" w:hAnsi="Arial" w:cs="Arial"/>
      <w:b/>
      <w:iCs/>
      <w:szCs w:val="26"/>
      <w:lang w:eastAsia="en-AU"/>
    </w:rPr>
  </w:style>
  <w:style w:type="paragraph" w:customStyle="1" w:styleId="Bullet">
    <w:name w:val="Bullet"/>
    <w:basedOn w:val="Normal"/>
    <w:link w:val="BulletChar"/>
    <w:rsid w:val="005F4764"/>
    <w:pPr>
      <w:numPr>
        <w:numId w:val="2"/>
      </w:numPr>
      <w:tabs>
        <w:tab w:val="left" w:pos="1935"/>
      </w:tabs>
      <w:spacing w:before="120"/>
    </w:pPr>
    <w:rPr>
      <w:sz w:val="24"/>
    </w:rPr>
  </w:style>
  <w:style w:type="character" w:customStyle="1" w:styleId="BulletChar">
    <w:name w:val="Bullet Char"/>
    <w:link w:val="Bullet"/>
    <w:rsid w:val="005F4764"/>
    <w:rPr>
      <w:rFonts w:ascii="Arial" w:hAnsi="Arial"/>
      <w:sz w:val="24"/>
      <w:szCs w:val="24"/>
      <w:lang w:eastAsia="en-AU"/>
    </w:rPr>
  </w:style>
  <w:style w:type="paragraph" w:customStyle="1" w:styleId="Nonchapterheading">
    <w:name w:val="Non chapter heading"/>
    <w:basedOn w:val="Heading5"/>
    <w:link w:val="NonchapterheadingChar"/>
    <w:rsid w:val="005F4764"/>
    <w:pPr>
      <w:numPr>
        <w:ilvl w:val="0"/>
      </w:numPr>
      <w:spacing w:line="288" w:lineRule="auto"/>
      <w:ind w:left="360" w:hanging="360"/>
    </w:pPr>
    <w:rPr>
      <w:iCs w:val="0"/>
    </w:rPr>
  </w:style>
  <w:style w:type="character" w:customStyle="1" w:styleId="NonchapterheadingChar">
    <w:name w:val="Non chapter heading Char"/>
    <w:basedOn w:val="Heading5Char"/>
    <w:link w:val="Nonchapterheading"/>
    <w:rsid w:val="005F4764"/>
    <w:rPr>
      <w:rFonts w:ascii="Arial" w:hAnsi="Arial" w:cs="Arial"/>
      <w:b/>
      <w:i/>
      <w:iCs w:val="0"/>
      <w:szCs w:val="26"/>
      <w:lang w:eastAsia="en-AU"/>
    </w:rPr>
  </w:style>
  <w:style w:type="character" w:customStyle="1" w:styleId="Heading5Char">
    <w:name w:val="Heading 5 Char"/>
    <w:link w:val="Heading5"/>
    <w:uiPriority w:val="9"/>
    <w:rsid w:val="009F3135"/>
    <w:rPr>
      <w:rFonts w:ascii="Arial" w:hAnsi="Arial" w:cs="Arial"/>
      <w:b/>
      <w:i/>
      <w:iCs/>
      <w:szCs w:val="26"/>
      <w:lang w:eastAsia="en-AU"/>
    </w:rPr>
  </w:style>
  <w:style w:type="paragraph" w:customStyle="1" w:styleId="Non-numberedchapterheading">
    <w:name w:val="Non-numbered chapter heading"/>
    <w:basedOn w:val="Heading5"/>
    <w:link w:val="Non-numberedchapterheadingChar"/>
    <w:rsid w:val="005F4764"/>
    <w:pPr>
      <w:numPr>
        <w:ilvl w:val="0"/>
      </w:numPr>
      <w:spacing w:line="288" w:lineRule="auto"/>
      <w:ind w:left="360" w:hanging="360"/>
    </w:pPr>
    <w:rPr>
      <w:iCs w:val="0"/>
    </w:rPr>
  </w:style>
  <w:style w:type="character" w:customStyle="1" w:styleId="Non-numberedchapterheadingChar">
    <w:name w:val="Non-numbered chapter heading Char"/>
    <w:basedOn w:val="Heading5Char"/>
    <w:link w:val="Non-numberedchapterheading"/>
    <w:rsid w:val="005F4764"/>
    <w:rPr>
      <w:rFonts w:ascii="Arial" w:hAnsi="Arial" w:cs="Arial"/>
      <w:b/>
      <w:i/>
      <w:iCs w:val="0"/>
      <w:szCs w:val="26"/>
      <w:lang w:eastAsia="en-AU"/>
    </w:rPr>
  </w:style>
  <w:style w:type="character" w:customStyle="1" w:styleId="Heading3Char">
    <w:name w:val="Heading 3 Char"/>
    <w:basedOn w:val="DefaultParagraphFont"/>
    <w:link w:val="Heading3"/>
    <w:rsid w:val="00CB7367"/>
    <w:rPr>
      <w:rFonts w:ascii="Arial" w:hAnsi="Arial" w:cs="Arial"/>
      <w:b/>
      <w:bCs/>
      <w:i/>
      <w:sz w:val="24"/>
      <w:szCs w:val="26"/>
      <w:lang w:eastAsia="en-AU"/>
    </w:rPr>
  </w:style>
  <w:style w:type="character" w:customStyle="1" w:styleId="Heading6Char">
    <w:name w:val="Heading 6 Char"/>
    <w:link w:val="Heading6"/>
    <w:uiPriority w:val="9"/>
    <w:rsid w:val="009F3135"/>
    <w:rPr>
      <w:rFonts w:ascii="Arial" w:hAnsi="Arial" w:cs="Arial"/>
      <w:i/>
      <w:iCs/>
      <w:szCs w:val="26"/>
      <w:lang w:eastAsia="en-AU"/>
    </w:rPr>
  </w:style>
  <w:style w:type="character" w:customStyle="1" w:styleId="Heading7Char">
    <w:name w:val="Heading 7 Char"/>
    <w:link w:val="Heading7"/>
    <w:uiPriority w:val="9"/>
    <w:rsid w:val="005F4764"/>
    <w:rPr>
      <w:rFonts w:ascii="Arial" w:hAnsi="Arial" w:cs="Arial"/>
      <w:i/>
      <w:iCs/>
      <w:color w:val="404040"/>
      <w:lang w:eastAsia="en-AU"/>
    </w:rPr>
  </w:style>
  <w:style w:type="paragraph" w:styleId="TOC1">
    <w:name w:val="toc 1"/>
    <w:basedOn w:val="Normal"/>
    <w:next w:val="Normal"/>
    <w:autoRedefine/>
    <w:uiPriority w:val="39"/>
    <w:unhideWhenUsed/>
    <w:qFormat/>
    <w:rsid w:val="0017548F"/>
    <w:pPr>
      <w:tabs>
        <w:tab w:val="right" w:leader="dot" w:pos="9016"/>
      </w:tabs>
    </w:pPr>
    <w:rPr>
      <w:b/>
      <w:noProof/>
      <w:sz w:val="28"/>
    </w:rPr>
  </w:style>
  <w:style w:type="paragraph" w:styleId="TOC2">
    <w:name w:val="toc 2"/>
    <w:basedOn w:val="Normal"/>
    <w:next w:val="Normal"/>
    <w:autoRedefine/>
    <w:uiPriority w:val="39"/>
    <w:unhideWhenUsed/>
    <w:qFormat/>
    <w:rsid w:val="00B0602C"/>
    <w:pPr>
      <w:ind w:left="220"/>
    </w:pPr>
    <w:rPr>
      <w:sz w:val="24"/>
    </w:rPr>
  </w:style>
  <w:style w:type="paragraph" w:styleId="TOC3">
    <w:name w:val="toc 3"/>
    <w:basedOn w:val="Normal"/>
    <w:next w:val="Normal"/>
    <w:autoRedefine/>
    <w:uiPriority w:val="39"/>
    <w:unhideWhenUsed/>
    <w:qFormat/>
    <w:rsid w:val="005F4764"/>
    <w:pPr>
      <w:ind w:left="440"/>
    </w:pPr>
  </w:style>
  <w:style w:type="paragraph" w:styleId="TOC4">
    <w:name w:val="toc 4"/>
    <w:basedOn w:val="Normal"/>
    <w:next w:val="Normal"/>
    <w:autoRedefine/>
    <w:uiPriority w:val="39"/>
    <w:unhideWhenUsed/>
    <w:rsid w:val="005F4764"/>
    <w:pPr>
      <w:ind w:left="660"/>
    </w:pPr>
  </w:style>
  <w:style w:type="paragraph" w:styleId="FootnoteText">
    <w:name w:val="footnote text"/>
    <w:basedOn w:val="Normal"/>
    <w:link w:val="FootnoteTextChar"/>
    <w:uiPriority w:val="99"/>
    <w:unhideWhenUsed/>
    <w:rsid w:val="005F4764"/>
    <w:rPr>
      <w:sz w:val="18"/>
    </w:rPr>
  </w:style>
  <w:style w:type="character" w:customStyle="1" w:styleId="FootnoteTextChar">
    <w:name w:val="Footnote Text Char"/>
    <w:link w:val="FootnoteText"/>
    <w:uiPriority w:val="99"/>
    <w:rsid w:val="005F4764"/>
    <w:rPr>
      <w:rFonts w:ascii="Arial" w:hAnsi="Arial"/>
      <w:sz w:val="18"/>
      <w:szCs w:val="24"/>
      <w:lang w:eastAsia="en-AU"/>
    </w:rPr>
  </w:style>
  <w:style w:type="paragraph" w:styleId="Header">
    <w:name w:val="header"/>
    <w:basedOn w:val="Normal"/>
    <w:link w:val="HeaderChar"/>
    <w:unhideWhenUsed/>
    <w:rsid w:val="005F4764"/>
    <w:pPr>
      <w:tabs>
        <w:tab w:val="center" w:pos="4513"/>
        <w:tab w:val="right" w:pos="9026"/>
      </w:tabs>
    </w:pPr>
  </w:style>
  <w:style w:type="character" w:customStyle="1" w:styleId="HeaderChar">
    <w:name w:val="Header Char"/>
    <w:link w:val="Header"/>
    <w:rsid w:val="005F4764"/>
    <w:rPr>
      <w:rFonts w:ascii="Arial" w:hAnsi="Arial"/>
      <w:szCs w:val="24"/>
      <w:lang w:eastAsia="en-AU"/>
    </w:rPr>
  </w:style>
  <w:style w:type="paragraph" w:styleId="Footer">
    <w:name w:val="footer"/>
    <w:basedOn w:val="Normal"/>
    <w:link w:val="FooterChar"/>
    <w:uiPriority w:val="99"/>
    <w:unhideWhenUsed/>
    <w:rsid w:val="005F4764"/>
    <w:pPr>
      <w:tabs>
        <w:tab w:val="center" w:pos="4513"/>
        <w:tab w:val="right" w:pos="9026"/>
      </w:tabs>
      <w:spacing w:after="0"/>
      <w:jc w:val="right"/>
    </w:pPr>
    <w:rPr>
      <w:sz w:val="18"/>
    </w:rPr>
  </w:style>
  <w:style w:type="character" w:customStyle="1" w:styleId="FooterChar">
    <w:name w:val="Footer Char"/>
    <w:link w:val="Footer"/>
    <w:uiPriority w:val="99"/>
    <w:rsid w:val="005F4764"/>
    <w:rPr>
      <w:rFonts w:ascii="Arial" w:hAnsi="Arial"/>
      <w:sz w:val="18"/>
      <w:szCs w:val="24"/>
      <w:lang w:eastAsia="en-AU"/>
    </w:rPr>
  </w:style>
  <w:style w:type="character" w:styleId="FootnoteReference">
    <w:name w:val="footnote reference"/>
    <w:uiPriority w:val="99"/>
    <w:unhideWhenUsed/>
    <w:qFormat/>
    <w:rsid w:val="005F4764"/>
    <w:rPr>
      <w:rFonts w:ascii="Arial" w:hAnsi="Arial"/>
      <w:i w:val="0"/>
      <w:color w:val="595959" w:themeColor="text1" w:themeTint="A6"/>
      <w:sz w:val="18"/>
      <w:vertAlign w:val="superscript"/>
    </w:rPr>
  </w:style>
  <w:style w:type="paragraph" w:styleId="Subtitle">
    <w:name w:val="Subtitle"/>
    <w:basedOn w:val="Normal"/>
    <w:next w:val="Normal"/>
    <w:link w:val="SubtitleChar"/>
    <w:uiPriority w:val="11"/>
    <w:rsid w:val="005F4764"/>
    <w:pPr>
      <w:numPr>
        <w:ilvl w:val="1"/>
      </w:numPr>
    </w:pPr>
    <w:rPr>
      <w:rFonts w:eastAsiaTheme="majorEastAsia" w:cstheme="majorBidi"/>
      <w:i/>
      <w:iCs/>
      <w:spacing w:val="15"/>
    </w:rPr>
  </w:style>
  <w:style w:type="character" w:customStyle="1" w:styleId="SubtitleChar">
    <w:name w:val="Subtitle Char"/>
    <w:link w:val="Subtitle"/>
    <w:uiPriority w:val="11"/>
    <w:rsid w:val="005F4764"/>
    <w:rPr>
      <w:rFonts w:ascii="Arial" w:eastAsiaTheme="majorEastAsia" w:hAnsi="Arial" w:cstheme="majorBidi"/>
      <w:i/>
      <w:iCs/>
      <w:spacing w:val="15"/>
      <w:szCs w:val="24"/>
      <w:lang w:eastAsia="en-AU"/>
    </w:rPr>
  </w:style>
  <w:style w:type="character" w:styleId="Hyperlink">
    <w:name w:val="Hyperlink"/>
    <w:uiPriority w:val="99"/>
    <w:rsid w:val="005F4764"/>
    <w:rPr>
      <w:rFonts w:ascii="Arial" w:hAnsi="Arial"/>
      <w:color w:val="0000FF"/>
      <w:sz w:val="22"/>
      <w:u w:val="single"/>
    </w:rPr>
  </w:style>
  <w:style w:type="character" w:styleId="Strong">
    <w:name w:val="Strong"/>
    <w:uiPriority w:val="22"/>
    <w:rsid w:val="005F4764"/>
    <w:rPr>
      <w:rFonts w:ascii="Arial" w:hAnsi="Arial"/>
      <w:b/>
      <w:bCs/>
      <w:sz w:val="22"/>
    </w:rPr>
  </w:style>
  <w:style w:type="character" w:styleId="Emphasis">
    <w:name w:val="Emphasis"/>
    <w:uiPriority w:val="20"/>
    <w:rsid w:val="005F4764"/>
    <w:rPr>
      <w:rFonts w:ascii="Arial" w:hAnsi="Arial"/>
      <w:i/>
      <w:iCs/>
      <w:sz w:val="22"/>
    </w:rPr>
  </w:style>
  <w:style w:type="table" w:styleId="TableGrid">
    <w:name w:val="Table Grid"/>
    <w:basedOn w:val="TableNormal"/>
    <w:uiPriority w:val="59"/>
    <w:rsid w:val="005F4764"/>
    <w:pPr>
      <w:spacing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5F4764"/>
    <w:pPr>
      <w:numPr>
        <w:numId w:val="9"/>
      </w:numPr>
    </w:pPr>
  </w:style>
  <w:style w:type="paragraph" w:styleId="ListParagraph">
    <w:name w:val="List Paragraph"/>
    <w:basedOn w:val="Normal"/>
    <w:uiPriority w:val="34"/>
    <w:rsid w:val="005F4764"/>
    <w:pPr>
      <w:ind w:left="720"/>
      <w:contextualSpacing/>
    </w:pPr>
  </w:style>
  <w:style w:type="paragraph" w:styleId="Quote">
    <w:name w:val="Quote"/>
    <w:basedOn w:val="Normal"/>
    <w:next w:val="Normal"/>
    <w:link w:val="QuoteChar"/>
    <w:uiPriority w:val="29"/>
    <w:qFormat/>
    <w:rsid w:val="005F4764"/>
    <w:rPr>
      <w:i/>
      <w:iCs/>
      <w:color w:val="000000"/>
    </w:rPr>
  </w:style>
  <w:style w:type="character" w:customStyle="1" w:styleId="QuoteChar">
    <w:name w:val="Quote Char"/>
    <w:link w:val="Quote"/>
    <w:uiPriority w:val="29"/>
    <w:rsid w:val="005F4764"/>
    <w:rPr>
      <w:rFonts w:ascii="Arial" w:hAnsi="Arial"/>
      <w:i/>
      <w:iCs/>
      <w:color w:val="000000"/>
      <w:szCs w:val="24"/>
      <w:lang w:eastAsia="en-AU"/>
    </w:rPr>
  </w:style>
  <w:style w:type="paragraph" w:styleId="TOAHeading">
    <w:name w:val="toa heading"/>
    <w:basedOn w:val="Normal"/>
    <w:next w:val="Normal"/>
    <w:uiPriority w:val="99"/>
    <w:semiHidden/>
    <w:unhideWhenUsed/>
    <w:rsid w:val="005F4764"/>
    <w:pPr>
      <w:spacing w:before="120"/>
    </w:pPr>
    <w:rPr>
      <w:rFonts w:eastAsiaTheme="majorEastAsia" w:cstheme="majorBidi"/>
      <w:b/>
      <w:bCs/>
      <w:sz w:val="28"/>
    </w:rPr>
  </w:style>
  <w:style w:type="character" w:styleId="IntenseEmphasis">
    <w:name w:val="Intense Emphasis"/>
    <w:uiPriority w:val="21"/>
    <w:rsid w:val="005F4764"/>
    <w:rPr>
      <w:rFonts w:ascii="Trebuchet MS" w:hAnsi="Trebuchet MS"/>
      <w:b/>
      <w:bCs/>
      <w:i/>
      <w:iCs/>
      <w:color w:val="000000" w:themeColor="text1"/>
      <w:sz w:val="22"/>
    </w:rPr>
  </w:style>
  <w:style w:type="paragraph" w:styleId="ListBullet">
    <w:name w:val="List Bullet"/>
    <w:basedOn w:val="List"/>
    <w:uiPriority w:val="99"/>
    <w:unhideWhenUsed/>
    <w:rsid w:val="005F4764"/>
    <w:pPr>
      <w:numPr>
        <w:numId w:val="3"/>
      </w:numPr>
      <w:contextualSpacing w:val="0"/>
    </w:pPr>
  </w:style>
  <w:style w:type="paragraph" w:styleId="ListNumber2">
    <w:name w:val="List Number 2"/>
    <w:basedOn w:val="Normal"/>
    <w:uiPriority w:val="99"/>
    <w:unhideWhenUsed/>
    <w:rsid w:val="005F4764"/>
    <w:pPr>
      <w:numPr>
        <w:numId w:val="5"/>
      </w:numPr>
      <w:contextualSpacing/>
    </w:pPr>
  </w:style>
  <w:style w:type="paragraph" w:styleId="ListNumber3">
    <w:name w:val="List Number 3"/>
    <w:basedOn w:val="Normal"/>
    <w:link w:val="ListNumber3Char"/>
    <w:uiPriority w:val="99"/>
    <w:unhideWhenUsed/>
    <w:rsid w:val="005F4764"/>
    <w:pPr>
      <w:numPr>
        <w:numId w:val="6"/>
      </w:numPr>
      <w:contextualSpacing/>
    </w:pPr>
  </w:style>
  <w:style w:type="paragraph" w:styleId="ListNumber4">
    <w:name w:val="List Number 4"/>
    <w:basedOn w:val="Normal"/>
    <w:uiPriority w:val="99"/>
    <w:semiHidden/>
    <w:unhideWhenUsed/>
    <w:rsid w:val="005F4764"/>
    <w:pPr>
      <w:numPr>
        <w:numId w:val="7"/>
      </w:numPr>
      <w:contextualSpacing/>
    </w:pPr>
  </w:style>
  <w:style w:type="paragraph" w:styleId="ListNumber5">
    <w:name w:val="List Number 5"/>
    <w:basedOn w:val="Normal"/>
    <w:uiPriority w:val="99"/>
    <w:semiHidden/>
    <w:unhideWhenUsed/>
    <w:rsid w:val="005F4764"/>
    <w:pPr>
      <w:numPr>
        <w:numId w:val="8"/>
      </w:numPr>
      <w:contextualSpacing/>
    </w:pPr>
  </w:style>
  <w:style w:type="paragraph" w:styleId="ListNumber">
    <w:name w:val="List Number"/>
    <w:basedOn w:val="Normal"/>
    <w:uiPriority w:val="99"/>
    <w:unhideWhenUsed/>
    <w:rsid w:val="005F4764"/>
    <w:pPr>
      <w:numPr>
        <w:numId w:val="4"/>
      </w:numPr>
      <w:contextualSpacing/>
    </w:pPr>
  </w:style>
  <w:style w:type="paragraph" w:styleId="List">
    <w:name w:val="List"/>
    <w:basedOn w:val="Normal"/>
    <w:uiPriority w:val="99"/>
    <w:unhideWhenUsed/>
    <w:rsid w:val="005F4764"/>
    <w:pPr>
      <w:ind w:left="283" w:hanging="283"/>
      <w:contextualSpacing/>
    </w:pPr>
  </w:style>
  <w:style w:type="paragraph" w:styleId="List2">
    <w:name w:val="List 2"/>
    <w:basedOn w:val="Normal"/>
    <w:uiPriority w:val="99"/>
    <w:unhideWhenUsed/>
    <w:rsid w:val="005F4764"/>
    <w:pPr>
      <w:ind w:left="566" w:hanging="283"/>
      <w:contextualSpacing/>
    </w:pPr>
  </w:style>
  <w:style w:type="paragraph" w:styleId="List3">
    <w:name w:val="List 3"/>
    <w:basedOn w:val="Normal"/>
    <w:uiPriority w:val="99"/>
    <w:unhideWhenUsed/>
    <w:rsid w:val="005F4764"/>
    <w:pPr>
      <w:ind w:left="849" w:hanging="283"/>
      <w:contextualSpacing/>
    </w:pPr>
  </w:style>
  <w:style w:type="paragraph" w:styleId="List4">
    <w:name w:val="List 4"/>
    <w:basedOn w:val="Normal"/>
    <w:uiPriority w:val="99"/>
    <w:unhideWhenUsed/>
    <w:rsid w:val="005F4764"/>
    <w:pPr>
      <w:ind w:left="1132" w:hanging="283"/>
      <w:contextualSpacing/>
    </w:pPr>
  </w:style>
  <w:style w:type="numbering" w:styleId="111111">
    <w:name w:val="Outline List 2"/>
    <w:basedOn w:val="NoList"/>
    <w:uiPriority w:val="99"/>
    <w:semiHidden/>
    <w:unhideWhenUsed/>
    <w:rsid w:val="005F4764"/>
    <w:pPr>
      <w:numPr>
        <w:numId w:val="1"/>
      </w:numPr>
    </w:pPr>
  </w:style>
  <w:style w:type="character" w:customStyle="1" w:styleId="ListNumber3Char">
    <w:name w:val="List Number 3 Char"/>
    <w:basedOn w:val="DefaultParagraphFont"/>
    <w:link w:val="ListNumber3"/>
    <w:uiPriority w:val="99"/>
    <w:rsid w:val="005F4764"/>
    <w:rPr>
      <w:rFonts w:ascii="Arial" w:hAnsi="Arial"/>
      <w:szCs w:val="24"/>
      <w:lang w:eastAsia="en-AU"/>
    </w:rPr>
  </w:style>
  <w:style w:type="character" w:customStyle="1" w:styleId="NumberedListChar">
    <w:name w:val="Numbered List Char"/>
    <w:basedOn w:val="ListNumber3Char"/>
    <w:link w:val="NumberedList"/>
    <w:rsid w:val="005F4764"/>
    <w:rPr>
      <w:rFonts w:ascii="Arial" w:hAnsi="Arial"/>
      <w:szCs w:val="24"/>
      <w:lang w:eastAsia="en-AU"/>
    </w:rPr>
  </w:style>
  <w:style w:type="paragraph" w:styleId="BodyText">
    <w:name w:val="Body Text"/>
    <w:basedOn w:val="Normal"/>
    <w:link w:val="BodyTextChar"/>
    <w:uiPriority w:val="99"/>
    <w:semiHidden/>
    <w:unhideWhenUsed/>
    <w:rsid w:val="005F4764"/>
  </w:style>
  <w:style w:type="character" w:customStyle="1" w:styleId="BodyTextChar">
    <w:name w:val="Body Text Char"/>
    <w:basedOn w:val="DefaultParagraphFont"/>
    <w:link w:val="BodyText"/>
    <w:uiPriority w:val="99"/>
    <w:semiHidden/>
    <w:rsid w:val="005F4764"/>
    <w:rPr>
      <w:rFonts w:ascii="Arial" w:hAnsi="Arial"/>
      <w:szCs w:val="24"/>
      <w:lang w:eastAsia="en-AU"/>
    </w:rPr>
  </w:style>
  <w:style w:type="character" w:customStyle="1" w:styleId="Heading8Char">
    <w:name w:val="Heading 8 Char"/>
    <w:basedOn w:val="DefaultParagraphFont"/>
    <w:link w:val="Heading8"/>
    <w:uiPriority w:val="9"/>
    <w:rsid w:val="005F4764"/>
    <w:rPr>
      <w:rFonts w:ascii="Arial" w:eastAsiaTheme="majorEastAsia" w:hAnsi="Arial" w:cstheme="majorBidi"/>
      <w:color w:val="404040" w:themeColor="text1" w:themeTint="BF"/>
      <w:sz w:val="20"/>
      <w:szCs w:val="20"/>
      <w:lang w:eastAsia="en-AU"/>
    </w:rPr>
  </w:style>
  <w:style w:type="character" w:customStyle="1" w:styleId="Heading9Char">
    <w:name w:val="Heading 9 Char"/>
    <w:basedOn w:val="DefaultParagraphFont"/>
    <w:link w:val="Heading9"/>
    <w:uiPriority w:val="9"/>
    <w:rsid w:val="005F4764"/>
    <w:rPr>
      <w:rFonts w:ascii="Arial" w:eastAsiaTheme="majorEastAsia" w:hAnsi="Arial" w:cstheme="majorBidi"/>
      <w:i/>
      <w:iCs/>
      <w:color w:val="404040" w:themeColor="text1" w:themeTint="BF"/>
      <w:sz w:val="20"/>
      <w:szCs w:val="20"/>
      <w:lang w:eastAsia="en-AU"/>
    </w:rPr>
  </w:style>
  <w:style w:type="paragraph" w:styleId="TOCHeading">
    <w:name w:val="TOC Heading"/>
    <w:basedOn w:val="Heading1"/>
    <w:next w:val="Normal"/>
    <w:uiPriority w:val="39"/>
    <w:unhideWhenUsed/>
    <w:qFormat/>
    <w:rsid w:val="00B0602C"/>
    <w:pPr>
      <w:spacing w:after="0"/>
      <w:outlineLvl w:val="9"/>
    </w:pPr>
    <w:rPr>
      <w:szCs w:val="28"/>
    </w:rPr>
  </w:style>
  <w:style w:type="paragraph" w:customStyle="1" w:styleId="TableColumnHeading">
    <w:name w:val="Table Column Heading"/>
    <w:basedOn w:val="Normal"/>
    <w:rsid w:val="005F4764"/>
    <w:pPr>
      <w:widowControl w:val="0"/>
      <w:spacing w:before="120"/>
    </w:pPr>
    <w:rPr>
      <w:rFonts w:eastAsia="Times" w:cstheme="majorBidi"/>
      <w:b/>
      <w:iCs/>
      <w:color w:val="000000" w:themeColor="text1"/>
      <w:szCs w:val="20"/>
    </w:rPr>
  </w:style>
  <w:style w:type="paragraph" w:customStyle="1" w:styleId="TableColumnSub-Heading">
    <w:name w:val="Table Column Sub-Heading"/>
    <w:basedOn w:val="Normal"/>
    <w:rsid w:val="005F4764"/>
    <w:pPr>
      <w:keepNext/>
      <w:widowControl w:val="0"/>
      <w:spacing w:before="60" w:after="60"/>
    </w:pPr>
    <w:rPr>
      <w:rFonts w:cstheme="minorBidi"/>
      <w:b/>
      <w:sz w:val="20"/>
    </w:rPr>
  </w:style>
  <w:style w:type="paragraph" w:customStyle="1" w:styleId="TableRowHeading">
    <w:name w:val="Table Row Heading"/>
    <w:basedOn w:val="Normal"/>
    <w:rsid w:val="005F4764"/>
    <w:pPr>
      <w:keepNext/>
      <w:widowControl w:val="0"/>
      <w:spacing w:before="120"/>
    </w:pPr>
    <w:rPr>
      <w:b/>
      <w:i/>
      <w:sz w:val="20"/>
    </w:rPr>
  </w:style>
  <w:style w:type="table" w:customStyle="1" w:styleId="APRAWorkingPaperTable">
    <w:name w:val="APRA Working Paper Table"/>
    <w:basedOn w:val="TableNormal"/>
    <w:uiPriority w:val="99"/>
    <w:rsid w:val="005F4764"/>
    <w:pPr>
      <w:spacing w:after="0" w:line="240" w:lineRule="auto"/>
    </w:pPr>
    <w:rPr>
      <w:rFonts w:ascii="Arial" w:hAnsi="Arial"/>
      <w:sz w:val="20"/>
      <w:lang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8DB3E2" w:themeFill="text2" w:themeFillTint="66"/>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5F4764"/>
    <w:pPr>
      <w:spacing w:after="0"/>
    </w:pPr>
    <w:rPr>
      <w:rFonts w:cs="Tahoma"/>
      <w:sz w:val="16"/>
      <w:szCs w:val="16"/>
    </w:rPr>
  </w:style>
  <w:style w:type="character" w:customStyle="1" w:styleId="BalloonTextChar">
    <w:name w:val="Balloon Text Char"/>
    <w:basedOn w:val="DefaultParagraphFont"/>
    <w:link w:val="BalloonText"/>
    <w:uiPriority w:val="99"/>
    <w:semiHidden/>
    <w:rsid w:val="005F4764"/>
    <w:rPr>
      <w:rFonts w:ascii="Arial" w:hAnsi="Arial" w:cs="Tahoma"/>
      <w:sz w:val="16"/>
      <w:szCs w:val="16"/>
      <w:lang w:eastAsia="en-AU"/>
    </w:rPr>
  </w:style>
  <w:style w:type="character" w:styleId="FollowedHyperlink">
    <w:name w:val="FollowedHyperlink"/>
    <w:basedOn w:val="DefaultParagraphFont"/>
    <w:uiPriority w:val="99"/>
    <w:semiHidden/>
    <w:unhideWhenUsed/>
    <w:rsid w:val="005F4764"/>
    <w:rPr>
      <w:color w:val="800080" w:themeColor="followedHyperlink"/>
      <w:u w:val="single"/>
    </w:rPr>
  </w:style>
  <w:style w:type="paragraph" w:styleId="Title">
    <w:name w:val="Title"/>
    <w:basedOn w:val="Normal"/>
    <w:next w:val="Normal"/>
    <w:link w:val="TitleChar"/>
    <w:uiPriority w:val="10"/>
    <w:qFormat/>
    <w:rsid w:val="00C333E7"/>
    <w:pPr>
      <w:spacing w:after="300"/>
      <w:contextualSpacing/>
    </w:pPr>
    <w:rPr>
      <w:rFonts w:eastAsiaTheme="majorEastAsia" w:cstheme="majorBidi"/>
      <w:b/>
      <w:caps/>
      <w:spacing w:val="5"/>
      <w:kern w:val="28"/>
      <w:sz w:val="40"/>
      <w:szCs w:val="52"/>
    </w:rPr>
  </w:style>
  <w:style w:type="character" w:customStyle="1" w:styleId="TitleChar">
    <w:name w:val="Title Char"/>
    <w:basedOn w:val="DefaultParagraphFont"/>
    <w:link w:val="Title"/>
    <w:uiPriority w:val="10"/>
    <w:rsid w:val="00C333E7"/>
    <w:rPr>
      <w:rFonts w:ascii="Arial" w:eastAsiaTheme="majorEastAsia" w:hAnsi="Arial" w:cstheme="majorBidi"/>
      <w:b/>
      <w:caps/>
      <w:spacing w:val="5"/>
      <w:kern w:val="28"/>
      <w:sz w:val="40"/>
      <w:szCs w:val="52"/>
      <w:lang w:eastAsia="en-AU"/>
    </w:rPr>
  </w:style>
  <w:style w:type="character" w:styleId="SubtleEmphasis">
    <w:name w:val="Subtle Emphasis"/>
    <w:basedOn w:val="DefaultParagraphFont"/>
    <w:uiPriority w:val="19"/>
    <w:rsid w:val="005F4764"/>
    <w:rPr>
      <w:i/>
      <w:iCs/>
      <w:color w:val="808080" w:themeColor="text1" w:themeTint="7F"/>
    </w:rPr>
  </w:style>
  <w:style w:type="character" w:styleId="PlaceholderText">
    <w:name w:val="Placeholder Text"/>
    <w:basedOn w:val="DefaultParagraphFont"/>
    <w:uiPriority w:val="99"/>
    <w:semiHidden/>
    <w:rsid w:val="005F4764"/>
    <w:rPr>
      <w:color w:val="808080"/>
    </w:rPr>
  </w:style>
  <w:style w:type="paragraph" w:customStyle="1" w:styleId="APRASignature">
    <w:name w:val="APRA Signature"/>
    <w:basedOn w:val="Normal"/>
    <w:link w:val="APRASignatureChar"/>
    <w:rsid w:val="005F4764"/>
    <w:pPr>
      <w:spacing w:after="0"/>
    </w:pPr>
    <w:rPr>
      <w:i/>
    </w:rPr>
  </w:style>
  <w:style w:type="character" w:customStyle="1" w:styleId="APRASignatureChar">
    <w:name w:val="APRA Signature Char"/>
    <w:basedOn w:val="DefaultParagraphFont"/>
    <w:link w:val="APRASignature"/>
    <w:rsid w:val="005F4764"/>
    <w:rPr>
      <w:rFonts w:ascii="Arial" w:hAnsi="Arial"/>
      <w:i/>
      <w:szCs w:val="24"/>
      <w:lang w:eastAsia="en-AU"/>
    </w:rPr>
  </w:style>
  <w:style w:type="paragraph" w:customStyle="1" w:styleId="Tabletext">
    <w:name w:val="Table text"/>
    <w:basedOn w:val="Normal"/>
    <w:link w:val="TabletextChar"/>
    <w:qFormat/>
    <w:rsid w:val="005F4764"/>
    <w:pPr>
      <w:spacing w:before="60" w:after="60"/>
    </w:pPr>
    <w:rPr>
      <w:rFonts w:cs="Arial"/>
    </w:rPr>
  </w:style>
  <w:style w:type="character" w:customStyle="1" w:styleId="TabletextChar">
    <w:name w:val="Table text Char"/>
    <w:basedOn w:val="DefaultParagraphFont"/>
    <w:link w:val="Tabletext"/>
    <w:rsid w:val="005F4764"/>
    <w:rPr>
      <w:rFonts w:ascii="Arial" w:hAnsi="Arial" w:cs="Arial"/>
      <w:szCs w:val="24"/>
      <w:lang w:eastAsia="en-AU"/>
    </w:rPr>
  </w:style>
  <w:style w:type="paragraph" w:customStyle="1" w:styleId="Bullet10">
    <w:name w:val="Bullet 1"/>
    <w:basedOn w:val="Normal"/>
    <w:link w:val="Bullet1Char"/>
    <w:rsid w:val="00CC10DA"/>
    <w:pPr>
      <w:tabs>
        <w:tab w:val="left" w:pos="426"/>
      </w:tabs>
    </w:pPr>
    <w:rPr>
      <w:rFonts w:cs="Arial"/>
      <w:color w:val="000000"/>
      <w:szCs w:val="22"/>
    </w:rPr>
  </w:style>
  <w:style w:type="character" w:customStyle="1" w:styleId="Bullet1Char">
    <w:name w:val="Bullet 1 Char"/>
    <w:basedOn w:val="DefaultParagraphFont"/>
    <w:link w:val="Bullet10"/>
    <w:rsid w:val="00CC10DA"/>
    <w:rPr>
      <w:rFonts w:ascii="Arial" w:hAnsi="Arial" w:cs="Arial"/>
      <w:color w:val="000000"/>
      <w:lang w:eastAsia="en-AU"/>
    </w:rPr>
  </w:style>
  <w:style w:type="paragraph" w:customStyle="1" w:styleId="Bullet20">
    <w:name w:val="Bullet 2"/>
    <w:basedOn w:val="Normal"/>
    <w:link w:val="Bullet2Char"/>
    <w:rsid w:val="00CC10DA"/>
    <w:pPr>
      <w:spacing w:before="240"/>
    </w:pPr>
    <w:rPr>
      <w:rFonts w:cs="Arial"/>
      <w:color w:val="000000"/>
      <w:szCs w:val="22"/>
    </w:rPr>
  </w:style>
  <w:style w:type="character" w:customStyle="1" w:styleId="Bullet2Char">
    <w:name w:val="Bullet 2 Char"/>
    <w:basedOn w:val="DefaultParagraphFont"/>
    <w:link w:val="Bullet20"/>
    <w:rsid w:val="00CC10DA"/>
    <w:rPr>
      <w:rFonts w:ascii="Arial" w:hAnsi="Arial" w:cs="Arial"/>
      <w:color w:val="000000"/>
      <w:lang w:eastAsia="en-AU"/>
    </w:rPr>
  </w:style>
  <w:style w:type="paragraph" w:customStyle="1" w:styleId="Bullet30">
    <w:name w:val="Bullet 3"/>
    <w:basedOn w:val="Normal"/>
    <w:link w:val="Bullet3Char"/>
    <w:rsid w:val="00CC10DA"/>
    <w:rPr>
      <w:rFonts w:cs="Arial"/>
      <w:color w:val="000000"/>
    </w:rPr>
  </w:style>
  <w:style w:type="character" w:customStyle="1" w:styleId="Bullet3Char">
    <w:name w:val="Bullet 3 Char"/>
    <w:basedOn w:val="Bullet1Char"/>
    <w:link w:val="Bullet30"/>
    <w:rsid w:val="00CC10DA"/>
    <w:rPr>
      <w:rFonts w:ascii="Arial" w:hAnsi="Arial" w:cs="Arial"/>
      <w:color w:val="000000"/>
      <w:szCs w:val="24"/>
      <w:lang w:eastAsia="en-AU"/>
    </w:rPr>
  </w:style>
  <w:style w:type="paragraph" w:styleId="MacroText">
    <w:name w:val="macro"/>
    <w:link w:val="MacroTextChar"/>
    <w:uiPriority w:val="99"/>
    <w:semiHidden/>
    <w:unhideWhenUsed/>
    <w:rsid w:val="005F476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Arial" w:hAnsi="Arial"/>
      <w:sz w:val="20"/>
      <w:szCs w:val="20"/>
      <w:lang w:eastAsia="en-AU"/>
    </w:rPr>
  </w:style>
  <w:style w:type="character" w:customStyle="1" w:styleId="MacroTextChar">
    <w:name w:val="Macro Text Char"/>
    <w:basedOn w:val="DefaultParagraphFont"/>
    <w:link w:val="MacroText"/>
    <w:uiPriority w:val="99"/>
    <w:semiHidden/>
    <w:rsid w:val="005F4764"/>
    <w:rPr>
      <w:rFonts w:ascii="Arial" w:hAnsi="Arial"/>
      <w:sz w:val="20"/>
      <w:szCs w:val="20"/>
      <w:lang w:eastAsia="en-AU"/>
    </w:rPr>
  </w:style>
  <w:style w:type="paragraph" w:styleId="BlockText">
    <w:name w:val="Block Text"/>
    <w:basedOn w:val="Normal"/>
    <w:uiPriority w:val="99"/>
    <w:semiHidden/>
    <w:unhideWhenUsed/>
    <w:rsid w:val="005F476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table" w:styleId="ColorfulGrid">
    <w:name w:val="Colorful Grid"/>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velopeAddress">
    <w:name w:val="envelope address"/>
    <w:basedOn w:val="Normal"/>
    <w:uiPriority w:val="99"/>
    <w:semiHidden/>
    <w:unhideWhenUsed/>
    <w:rsid w:val="005F4764"/>
    <w:pPr>
      <w:framePr w:w="7920" w:h="1980" w:hRule="exact" w:hSpace="180" w:wrap="auto" w:hAnchor="page" w:xAlign="center" w:yAlign="bottom"/>
      <w:spacing w:after="0"/>
      <w:ind w:left="2880"/>
    </w:pPr>
    <w:rPr>
      <w:rFonts w:eastAsiaTheme="majorEastAsia" w:cstheme="majorBidi"/>
      <w:sz w:val="24"/>
    </w:rPr>
  </w:style>
  <w:style w:type="paragraph" w:styleId="EnvelopeReturn">
    <w:name w:val="envelope return"/>
    <w:basedOn w:val="Normal"/>
    <w:uiPriority w:val="99"/>
    <w:semiHidden/>
    <w:unhideWhenUsed/>
    <w:rsid w:val="005F4764"/>
    <w:pPr>
      <w:spacing w:after="0"/>
    </w:pPr>
    <w:rPr>
      <w:rFonts w:eastAsiaTheme="majorEastAsia" w:cstheme="majorBidi"/>
      <w:sz w:val="20"/>
      <w:szCs w:val="20"/>
    </w:rPr>
  </w:style>
  <w:style w:type="table" w:styleId="GridTable1Light">
    <w:name w:val="Grid Table 1 Light"/>
    <w:basedOn w:val="TableNormal"/>
    <w:uiPriority w:val="46"/>
    <w:rsid w:val="005F4764"/>
    <w:pPr>
      <w:spacing w:after="0" w:line="240" w:lineRule="auto"/>
    </w:pPr>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F4764"/>
    <w:pPr>
      <w:spacing w:after="0" w:line="240" w:lineRule="auto"/>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F4764"/>
    <w:pPr>
      <w:spacing w:after="0" w:line="240" w:lineRule="auto"/>
    </w:pPr>
    <w:rPr>
      <w:rFonts w:ascii="Arial" w:hAnsi="Arial"/>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F4764"/>
    <w:pPr>
      <w:spacing w:after="0" w:line="240" w:lineRule="auto"/>
    </w:pPr>
    <w:rPr>
      <w:rFonts w:ascii="Arial" w:hAnsi="Arial"/>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F4764"/>
    <w:pPr>
      <w:spacing w:after="0" w:line="240" w:lineRule="auto"/>
    </w:pPr>
    <w:rPr>
      <w:rFonts w:ascii="Arial" w:hAnsi="Arial"/>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F4764"/>
    <w:pPr>
      <w:spacing w:after="0" w:line="240" w:lineRule="auto"/>
    </w:pPr>
    <w:rPr>
      <w:rFonts w:ascii="Arial" w:hAnsi="Arial"/>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F4764"/>
    <w:pPr>
      <w:spacing w:after="0" w:line="240" w:lineRule="auto"/>
    </w:pPr>
    <w:rPr>
      <w:rFonts w:ascii="Arial" w:hAnsi="Arial"/>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F4764"/>
    <w:pPr>
      <w:spacing w:after="0" w:line="240" w:lineRule="auto"/>
    </w:pPr>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F4764"/>
    <w:pPr>
      <w:spacing w:after="0" w:line="240" w:lineRule="auto"/>
    </w:pPr>
    <w:rPr>
      <w:rFonts w:ascii="Arial" w:hAnsi="Arial"/>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F4764"/>
    <w:pPr>
      <w:spacing w:after="0" w:line="240" w:lineRule="auto"/>
    </w:pPr>
    <w:rPr>
      <w:rFonts w:ascii="Arial" w:hAnsi="Arial"/>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F4764"/>
    <w:pPr>
      <w:spacing w:after="0" w:line="240" w:lineRule="auto"/>
    </w:pPr>
    <w:rPr>
      <w:rFonts w:ascii="Arial" w:hAnsi="Arial"/>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F4764"/>
    <w:pPr>
      <w:spacing w:after="0" w:line="240" w:lineRule="auto"/>
    </w:pPr>
    <w:rPr>
      <w:rFonts w:ascii="Arial" w:hAnsi="Arial"/>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F4764"/>
    <w:pPr>
      <w:spacing w:after="0" w:line="240" w:lineRule="auto"/>
    </w:pPr>
    <w:rPr>
      <w:rFonts w:ascii="Arial" w:hAnsi="Arial"/>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F4764"/>
    <w:pPr>
      <w:spacing w:after="0" w:line="240" w:lineRule="auto"/>
    </w:pPr>
    <w:rPr>
      <w:rFonts w:ascii="Arial" w:hAnsi="Arial"/>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F4764"/>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F4764"/>
    <w:pPr>
      <w:spacing w:after="0" w:line="240" w:lineRule="auto"/>
    </w:pPr>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F4764"/>
    <w:pPr>
      <w:spacing w:after="0" w:line="240" w:lineRule="auto"/>
    </w:pPr>
    <w:rPr>
      <w:rFonts w:ascii="Arial"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F4764"/>
    <w:pPr>
      <w:spacing w:after="0" w:line="240" w:lineRule="auto"/>
    </w:pPr>
    <w:rPr>
      <w:rFonts w:ascii="Arial"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F4764"/>
    <w:pPr>
      <w:spacing w:after="0" w:line="240" w:lineRule="auto"/>
    </w:pPr>
    <w:rPr>
      <w:rFonts w:ascii="Arial"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F4764"/>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F4764"/>
    <w:pPr>
      <w:spacing w:after="0" w:line="240" w:lineRule="auto"/>
    </w:pPr>
    <w:rPr>
      <w:rFonts w:ascii="Arial"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F4764"/>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F4764"/>
    <w:pPr>
      <w:spacing w:after="0" w:line="240" w:lineRule="auto"/>
    </w:pPr>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F4764"/>
    <w:pPr>
      <w:spacing w:after="0" w:line="240" w:lineRule="auto"/>
    </w:pPr>
    <w:rPr>
      <w:rFonts w:ascii="Arial"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F4764"/>
    <w:pPr>
      <w:spacing w:after="0" w:line="240" w:lineRule="auto"/>
    </w:pPr>
    <w:rPr>
      <w:rFonts w:ascii="Arial"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F4764"/>
    <w:pPr>
      <w:spacing w:after="0" w:line="240" w:lineRule="auto"/>
    </w:pPr>
    <w:rPr>
      <w:rFonts w:ascii="Arial"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F4764"/>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F4764"/>
    <w:pPr>
      <w:spacing w:after="0" w:line="240" w:lineRule="auto"/>
    </w:pPr>
    <w:rPr>
      <w:rFonts w:ascii="Arial"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F4764"/>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F4764"/>
    <w:pPr>
      <w:spacing w:after="0" w:line="240" w:lineRule="auto"/>
    </w:pPr>
    <w:rPr>
      <w:rFonts w:ascii="Arial"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F4764"/>
    <w:pPr>
      <w:spacing w:after="0" w:line="240" w:lineRule="auto"/>
    </w:pPr>
    <w:rPr>
      <w:rFonts w:ascii="Arial"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F4764"/>
    <w:pPr>
      <w:spacing w:after="0" w:line="240" w:lineRule="auto"/>
    </w:pPr>
    <w:rPr>
      <w:rFonts w:ascii="Arial"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F4764"/>
    <w:pPr>
      <w:spacing w:after="0" w:line="240" w:lineRule="auto"/>
    </w:pPr>
    <w:rPr>
      <w:rFonts w:ascii="Arial"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F4764"/>
    <w:pPr>
      <w:spacing w:after="0" w:line="240" w:lineRule="auto"/>
    </w:pPr>
    <w:rPr>
      <w:rFonts w:ascii="Arial"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F4764"/>
    <w:pPr>
      <w:spacing w:after="0" w:line="240" w:lineRule="auto"/>
    </w:pPr>
    <w:rPr>
      <w:rFonts w:ascii="Arial"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F4764"/>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F4764"/>
    <w:pPr>
      <w:spacing w:after="0" w:line="240" w:lineRule="auto"/>
    </w:pPr>
    <w:rPr>
      <w:rFonts w:ascii="Arial"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F4764"/>
    <w:pPr>
      <w:spacing w:after="0" w:line="240" w:lineRule="auto"/>
    </w:pPr>
    <w:rPr>
      <w:rFonts w:ascii="Arial"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F4764"/>
    <w:pPr>
      <w:spacing w:after="0" w:line="240" w:lineRule="auto"/>
    </w:pPr>
    <w:rPr>
      <w:rFonts w:ascii="Arial"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F4764"/>
    <w:pPr>
      <w:spacing w:after="0" w:line="240" w:lineRule="auto"/>
    </w:pPr>
    <w:rPr>
      <w:rFonts w:ascii="Arial"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F4764"/>
    <w:pPr>
      <w:spacing w:after="0" w:line="240" w:lineRule="auto"/>
    </w:pPr>
    <w:rPr>
      <w:rFonts w:ascii="Arial"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F4764"/>
    <w:pPr>
      <w:spacing w:after="0" w:line="240" w:lineRule="auto"/>
    </w:pPr>
    <w:rPr>
      <w:rFonts w:ascii="Arial"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Index1">
    <w:name w:val="index 1"/>
    <w:basedOn w:val="Normal"/>
    <w:next w:val="Normal"/>
    <w:autoRedefine/>
    <w:uiPriority w:val="99"/>
    <w:semiHidden/>
    <w:unhideWhenUsed/>
    <w:rsid w:val="005F4764"/>
    <w:pPr>
      <w:spacing w:after="0"/>
      <w:ind w:left="220" w:hanging="220"/>
    </w:pPr>
  </w:style>
  <w:style w:type="paragraph" w:styleId="IndexHeading">
    <w:name w:val="index heading"/>
    <w:basedOn w:val="Normal"/>
    <w:next w:val="Index1"/>
    <w:uiPriority w:val="99"/>
    <w:semiHidden/>
    <w:unhideWhenUsed/>
    <w:rsid w:val="005F4764"/>
    <w:rPr>
      <w:rFonts w:eastAsiaTheme="majorEastAsia" w:cstheme="majorBidi"/>
      <w:b/>
      <w:bCs/>
    </w:rPr>
  </w:style>
  <w:style w:type="table" w:styleId="LightGrid">
    <w:name w:val="Light Grid"/>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F4764"/>
    <w:pPr>
      <w:spacing w:after="0" w:line="240" w:lineRule="auto"/>
    </w:pPr>
    <w:rPr>
      <w:rFonts w:ascii="Arial" w:hAnsi="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F4764"/>
    <w:pPr>
      <w:spacing w:after="0" w:line="240" w:lineRule="auto"/>
    </w:pPr>
    <w:rPr>
      <w:rFonts w:ascii="Arial" w:hAnsi="Arial"/>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F4764"/>
    <w:pPr>
      <w:spacing w:after="0" w:line="240" w:lineRule="auto"/>
    </w:pPr>
    <w:rPr>
      <w:rFonts w:ascii="Arial" w:hAnsi="Arial"/>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F4764"/>
    <w:pPr>
      <w:spacing w:after="0" w:line="240" w:lineRule="auto"/>
    </w:pPr>
    <w:rPr>
      <w:rFonts w:ascii="Arial" w:hAnsi="Arial"/>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F4764"/>
    <w:pPr>
      <w:spacing w:after="0" w:line="240" w:lineRule="auto"/>
    </w:pPr>
    <w:rPr>
      <w:rFonts w:ascii="Arial" w:hAnsi="Arial"/>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F4764"/>
    <w:pPr>
      <w:spacing w:after="0" w:line="240" w:lineRule="auto"/>
    </w:pPr>
    <w:rPr>
      <w:rFonts w:ascii="Arial" w:hAnsi="Arial"/>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F4764"/>
    <w:pPr>
      <w:spacing w:after="0" w:line="240" w:lineRule="auto"/>
    </w:pPr>
    <w:rPr>
      <w:rFonts w:ascii="Arial" w:hAnsi="Arial"/>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F4764"/>
    <w:pPr>
      <w:spacing w:after="0" w:line="240" w:lineRule="auto"/>
    </w:pPr>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F4764"/>
    <w:pPr>
      <w:spacing w:after="0" w:line="240" w:lineRule="auto"/>
    </w:pPr>
    <w:rPr>
      <w:rFonts w:ascii="Arial" w:hAnsi="Arial"/>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F4764"/>
    <w:pPr>
      <w:spacing w:after="0" w:line="240" w:lineRule="auto"/>
    </w:pPr>
    <w:rPr>
      <w:rFonts w:ascii="Arial" w:hAnsi="Arial"/>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F4764"/>
    <w:pPr>
      <w:spacing w:after="0" w:line="240" w:lineRule="auto"/>
    </w:pPr>
    <w:rPr>
      <w:rFonts w:ascii="Arial" w:hAnsi="Arial"/>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F4764"/>
    <w:pPr>
      <w:spacing w:after="0" w:line="240" w:lineRule="auto"/>
    </w:pPr>
    <w:rPr>
      <w:rFonts w:ascii="Arial" w:hAnsi="Arial"/>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
    <w:name w:val="List Table 6 Colorful"/>
    <w:basedOn w:val="TableNormal"/>
    <w:uiPriority w:val="51"/>
    <w:rsid w:val="005F4764"/>
    <w:pPr>
      <w:spacing w:after="0" w:line="240" w:lineRule="auto"/>
    </w:pPr>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F4764"/>
    <w:pPr>
      <w:spacing w:after="0" w:line="240" w:lineRule="auto"/>
    </w:pPr>
    <w:rPr>
      <w:rFonts w:ascii="Arial" w:hAnsi="Arial"/>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5">
    <w:name w:val="List Table 6 Colorful Accent 5"/>
    <w:basedOn w:val="TableNormal"/>
    <w:uiPriority w:val="51"/>
    <w:rsid w:val="005F4764"/>
    <w:pPr>
      <w:spacing w:after="0" w:line="240" w:lineRule="auto"/>
    </w:pPr>
    <w:rPr>
      <w:rFonts w:ascii="Arial" w:hAnsi="Arial"/>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F4764"/>
    <w:pPr>
      <w:spacing w:after="0" w:line="240" w:lineRule="auto"/>
    </w:pPr>
    <w:rPr>
      <w:rFonts w:ascii="Arial" w:hAnsi="Arial"/>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F4764"/>
    <w:pPr>
      <w:spacing w:after="0" w:line="240" w:lineRule="auto"/>
    </w:pPr>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F4764"/>
    <w:pPr>
      <w:spacing w:after="0" w:line="240" w:lineRule="auto"/>
    </w:pPr>
    <w:rPr>
      <w:rFonts w:ascii="Arial" w:hAnsi="Arial"/>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F4764"/>
    <w:pPr>
      <w:spacing w:after="0" w:line="240" w:lineRule="auto"/>
    </w:pPr>
    <w:rPr>
      <w:rFonts w:ascii="Arial" w:hAnsi="Arial"/>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F4764"/>
    <w:pPr>
      <w:spacing w:after="0" w:line="240" w:lineRule="auto"/>
    </w:pPr>
    <w:rPr>
      <w:rFonts w:ascii="Arial" w:hAnsi="Arial"/>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F4764"/>
    <w:pPr>
      <w:spacing w:after="0" w:line="240" w:lineRule="auto"/>
    </w:pPr>
    <w:rPr>
      <w:rFonts w:ascii="Arial" w:hAnsi="Arial"/>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F4764"/>
    <w:pPr>
      <w:spacing w:after="0" w:line="240" w:lineRule="auto"/>
    </w:pPr>
    <w:rPr>
      <w:rFonts w:ascii="Arial" w:hAnsi="Arial"/>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F4764"/>
    <w:pPr>
      <w:spacing w:after="0" w:line="240" w:lineRule="auto"/>
    </w:pPr>
    <w:rPr>
      <w:rFonts w:ascii="Arial" w:hAnsi="Arial"/>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3">
    <w:name w:val="Medium Grid 1 Accent 3"/>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5F476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rPr>
  </w:style>
  <w:style w:type="character" w:customStyle="1" w:styleId="MessageHeaderChar">
    <w:name w:val="Message Header Char"/>
    <w:basedOn w:val="DefaultParagraphFont"/>
    <w:link w:val="MessageHeader"/>
    <w:uiPriority w:val="99"/>
    <w:semiHidden/>
    <w:rsid w:val="005F4764"/>
    <w:rPr>
      <w:rFonts w:ascii="Arial" w:eastAsiaTheme="majorEastAsia" w:hAnsi="Arial" w:cstheme="majorBidi"/>
      <w:sz w:val="24"/>
      <w:szCs w:val="24"/>
      <w:shd w:val="pct20" w:color="auto" w:fill="auto"/>
      <w:lang w:eastAsia="en-AU"/>
    </w:rPr>
  </w:style>
  <w:style w:type="paragraph" w:styleId="NormalWeb">
    <w:name w:val="Normal (Web)"/>
    <w:basedOn w:val="Normal"/>
    <w:uiPriority w:val="99"/>
    <w:semiHidden/>
    <w:unhideWhenUsed/>
    <w:rsid w:val="005F4764"/>
    <w:rPr>
      <w:sz w:val="24"/>
    </w:rPr>
  </w:style>
  <w:style w:type="table" w:styleId="PlainTable1">
    <w:name w:val="Plain Table 1"/>
    <w:basedOn w:val="TableNormal"/>
    <w:uiPriority w:val="41"/>
    <w:rsid w:val="005F4764"/>
    <w:pPr>
      <w:spacing w:after="0" w:line="240" w:lineRule="auto"/>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F4764"/>
    <w:pPr>
      <w:spacing w:after="0" w:line="240" w:lineRule="auto"/>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F4764"/>
    <w:pPr>
      <w:spacing w:after="0" w:line="240" w:lineRule="auto"/>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F4764"/>
    <w:pPr>
      <w:spacing w:after="0" w:line="240" w:lineRule="auto"/>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F4764"/>
    <w:pPr>
      <w:spacing w:after="0" w:line="240" w:lineRule="auto"/>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F4764"/>
    <w:pPr>
      <w:spacing w:after="0"/>
    </w:pPr>
    <w:rPr>
      <w:sz w:val="21"/>
      <w:szCs w:val="21"/>
    </w:rPr>
  </w:style>
  <w:style w:type="character" w:customStyle="1" w:styleId="PlainTextChar">
    <w:name w:val="Plain Text Char"/>
    <w:basedOn w:val="DefaultParagraphFont"/>
    <w:link w:val="PlainText"/>
    <w:uiPriority w:val="99"/>
    <w:semiHidden/>
    <w:rsid w:val="005F4764"/>
    <w:rPr>
      <w:rFonts w:ascii="Arial" w:hAnsi="Arial"/>
      <w:sz w:val="21"/>
      <w:szCs w:val="21"/>
      <w:lang w:eastAsia="en-AU"/>
    </w:rPr>
  </w:style>
  <w:style w:type="table" w:styleId="Table3Deffects1">
    <w:name w:val="Table 3D effects 1"/>
    <w:basedOn w:val="TableNormal"/>
    <w:uiPriority w:val="99"/>
    <w:semiHidden/>
    <w:unhideWhenUsed/>
    <w:rsid w:val="005F4764"/>
    <w:pPr>
      <w:spacing w:after="240" w:line="240" w:lineRule="auto"/>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F4764"/>
    <w:pPr>
      <w:spacing w:after="240" w:line="240" w:lineRule="auto"/>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F4764"/>
    <w:pPr>
      <w:spacing w:after="240" w:line="240" w:lineRule="auto"/>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F4764"/>
    <w:pPr>
      <w:spacing w:after="240" w:line="240" w:lineRule="auto"/>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F4764"/>
    <w:pPr>
      <w:spacing w:after="240" w:line="240" w:lineRule="auto"/>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F4764"/>
    <w:pPr>
      <w:spacing w:after="240" w:line="240" w:lineRule="auto"/>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F4764"/>
    <w:pPr>
      <w:spacing w:after="240" w:line="240" w:lineRule="auto"/>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F4764"/>
    <w:pPr>
      <w:spacing w:after="240" w:line="240" w:lineRule="auto"/>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F4764"/>
    <w:pPr>
      <w:spacing w:after="240" w:line="240" w:lineRule="auto"/>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F4764"/>
    <w:pPr>
      <w:spacing w:after="240" w:line="240" w:lineRule="auto"/>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F4764"/>
    <w:pPr>
      <w:spacing w:after="240" w:line="240" w:lineRule="auto"/>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F4764"/>
    <w:pPr>
      <w:spacing w:after="240" w:line="240" w:lineRule="auto"/>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F4764"/>
    <w:pPr>
      <w:spacing w:after="240" w:line="240" w:lineRule="auto"/>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F4764"/>
    <w:pPr>
      <w:spacing w:after="240" w:line="240" w:lineRule="auto"/>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F4764"/>
    <w:pPr>
      <w:spacing w:after="240" w:line="240" w:lineRule="auto"/>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F4764"/>
    <w:pPr>
      <w:spacing w:after="240" w:line="240" w:lineRule="auto"/>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F4764"/>
    <w:pPr>
      <w:spacing w:after="240" w:line="240" w:lineRule="auto"/>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F4764"/>
    <w:pPr>
      <w:spacing w:after="240" w:line="240" w:lineRule="auto"/>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F4764"/>
    <w:pPr>
      <w:spacing w:after="0" w:line="240" w:lineRule="auto"/>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F4764"/>
    <w:pPr>
      <w:spacing w:after="240" w:line="240" w:lineRule="auto"/>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F4764"/>
    <w:pPr>
      <w:spacing w:after="240" w:line="240" w:lineRule="auto"/>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F4764"/>
    <w:pPr>
      <w:spacing w:after="240" w:line="24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F4764"/>
    <w:pPr>
      <w:spacing w:after="240" w:line="240" w:lineRule="auto"/>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F4764"/>
    <w:pPr>
      <w:spacing w:after="240" w:line="24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F4764"/>
    <w:pPr>
      <w:spacing w:after="240" w:line="240" w:lineRule="auto"/>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F4764"/>
    <w:pPr>
      <w:spacing w:after="240" w:line="240" w:lineRule="auto"/>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F4764"/>
    <w:pPr>
      <w:spacing w:after="240" w:line="240" w:lineRule="auto"/>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F4764"/>
    <w:pPr>
      <w:spacing w:after="240" w:line="240" w:lineRule="auto"/>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F4764"/>
    <w:pPr>
      <w:spacing w:after="240" w:line="240" w:lineRule="auto"/>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F4764"/>
    <w:pPr>
      <w:spacing w:after="240" w:line="240" w:lineRule="auto"/>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F4764"/>
    <w:pPr>
      <w:spacing w:after="240" w:line="240" w:lineRule="auto"/>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F4764"/>
    <w:pPr>
      <w:spacing w:after="240" w:line="240" w:lineRule="auto"/>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ULLET1">
    <w:name w:val="BULLET 1"/>
    <w:basedOn w:val="Normal"/>
    <w:link w:val="BULLET1Char0"/>
    <w:qFormat/>
    <w:rsid w:val="0036442A"/>
    <w:pPr>
      <w:numPr>
        <w:numId w:val="13"/>
      </w:numPr>
      <w:ind w:left="425" w:hanging="425"/>
    </w:pPr>
    <w:rPr>
      <w:rFonts w:eastAsiaTheme="minorEastAsia" w:cstheme="minorBidi"/>
      <w:szCs w:val="22"/>
    </w:rPr>
  </w:style>
  <w:style w:type="character" w:customStyle="1" w:styleId="BULLET1Char0">
    <w:name w:val="BULLET 1 Char"/>
    <w:basedOn w:val="DefaultParagraphFont"/>
    <w:link w:val="BULLET1"/>
    <w:rsid w:val="0036442A"/>
    <w:rPr>
      <w:rFonts w:ascii="Arial" w:eastAsiaTheme="minorEastAsia" w:hAnsi="Arial" w:cstheme="minorBidi"/>
      <w:lang w:eastAsia="en-AU"/>
    </w:rPr>
  </w:style>
  <w:style w:type="paragraph" w:customStyle="1" w:styleId="BULLET2">
    <w:name w:val="BULLET 2"/>
    <w:basedOn w:val="BULLET1"/>
    <w:link w:val="BULLET2Char0"/>
    <w:qFormat/>
    <w:rsid w:val="00FE57E9"/>
    <w:pPr>
      <w:numPr>
        <w:numId w:val="14"/>
      </w:numPr>
      <w:ind w:left="850" w:hanging="425"/>
    </w:pPr>
  </w:style>
  <w:style w:type="character" w:customStyle="1" w:styleId="BULLET2Char0">
    <w:name w:val="BULLET 2 Char"/>
    <w:basedOn w:val="DefaultParagraphFont"/>
    <w:link w:val="BULLET2"/>
    <w:rsid w:val="00FE57E9"/>
    <w:rPr>
      <w:rFonts w:ascii="Arial" w:eastAsiaTheme="minorEastAsia" w:hAnsi="Arial" w:cstheme="minorBidi"/>
      <w:lang w:eastAsia="en-AU"/>
    </w:rPr>
  </w:style>
  <w:style w:type="paragraph" w:customStyle="1" w:styleId="BULLET3">
    <w:name w:val="BULLET 3"/>
    <w:basedOn w:val="BULLET1"/>
    <w:link w:val="BULLET3Char0"/>
    <w:qFormat/>
    <w:rsid w:val="00B95BAF"/>
    <w:pPr>
      <w:numPr>
        <w:numId w:val="15"/>
      </w:numPr>
      <w:ind w:left="1276" w:hanging="425"/>
    </w:pPr>
  </w:style>
  <w:style w:type="character" w:customStyle="1" w:styleId="BULLET3Char0">
    <w:name w:val="BULLET 3 Char"/>
    <w:basedOn w:val="BULLET1Char0"/>
    <w:link w:val="BULLET3"/>
    <w:rsid w:val="00B95BAF"/>
    <w:rPr>
      <w:rFonts w:ascii="Arial" w:eastAsiaTheme="minorEastAsia" w:hAnsi="Arial" w:cstheme="minorBidi"/>
      <w:lang w:eastAsia="en-AU"/>
    </w:rPr>
  </w:style>
  <w:style w:type="paragraph" w:customStyle="1" w:styleId="Footnotes">
    <w:name w:val="Footnotes"/>
    <w:basedOn w:val="FootnoteText"/>
    <w:link w:val="FootnotesChar"/>
    <w:qFormat/>
    <w:rsid w:val="00C333E7"/>
    <w:pPr>
      <w:tabs>
        <w:tab w:val="left" w:pos="425"/>
      </w:tabs>
      <w:spacing w:after="120"/>
    </w:pPr>
    <w:rPr>
      <w:rFonts w:eastAsiaTheme="minorEastAsia" w:cstheme="minorBidi"/>
      <w:szCs w:val="20"/>
    </w:rPr>
  </w:style>
  <w:style w:type="character" w:customStyle="1" w:styleId="FootnotesChar">
    <w:name w:val="Footnotes Char"/>
    <w:basedOn w:val="FootnoteTextChar"/>
    <w:link w:val="Footnotes"/>
    <w:rsid w:val="00C333E7"/>
    <w:rPr>
      <w:rFonts w:ascii="Arial" w:eastAsiaTheme="minorEastAsia" w:hAnsi="Arial" w:cstheme="minorBidi"/>
      <w:sz w:val="18"/>
      <w:szCs w:val="20"/>
      <w:lang w:eastAsia="en-AU"/>
    </w:rPr>
  </w:style>
  <w:style w:type="character" w:styleId="BookTitle">
    <w:name w:val="Book Title"/>
    <w:basedOn w:val="DefaultParagraphFont"/>
    <w:uiPriority w:val="33"/>
    <w:rsid w:val="00FE57E9"/>
    <w:rPr>
      <w:b/>
      <w:bCs/>
      <w:i/>
      <w:iCs/>
      <w:spacing w:val="5"/>
    </w:rPr>
  </w:style>
  <w:style w:type="paragraph" w:customStyle="1" w:styleId="LetterHeadingCAPS">
    <w:name w:val="Letter Heading CAPS"/>
    <w:basedOn w:val="Normal"/>
    <w:link w:val="LetterHeadingCAPSChar"/>
    <w:rsid w:val="006A152E"/>
    <w:rPr>
      <w:b/>
      <w:lang w:val="en-US"/>
    </w:rPr>
  </w:style>
  <w:style w:type="paragraph" w:customStyle="1" w:styleId="LetterCAPS">
    <w:name w:val="Letter CAPS"/>
    <w:basedOn w:val="LetterHeadingCAPS"/>
    <w:link w:val="LetterCAPSChar"/>
    <w:rsid w:val="006A152E"/>
  </w:style>
  <w:style w:type="character" w:customStyle="1" w:styleId="LetterHeadingCAPSChar">
    <w:name w:val="Letter Heading CAPS Char"/>
    <w:basedOn w:val="DefaultParagraphFont"/>
    <w:link w:val="LetterHeadingCAPS"/>
    <w:rsid w:val="006A152E"/>
    <w:rPr>
      <w:rFonts w:ascii="Arial" w:hAnsi="Arial"/>
      <w:b/>
      <w:szCs w:val="24"/>
      <w:lang w:val="en-US" w:eastAsia="en-AU"/>
    </w:rPr>
  </w:style>
  <w:style w:type="paragraph" w:customStyle="1" w:styleId="LetterTitleCAPS">
    <w:name w:val="Letter Title CAPS"/>
    <w:basedOn w:val="Title"/>
    <w:link w:val="LetterTitleCAPSChar"/>
    <w:autoRedefine/>
    <w:rsid w:val="00325932"/>
    <w:rPr>
      <w:sz w:val="22"/>
      <w:szCs w:val="22"/>
    </w:rPr>
  </w:style>
  <w:style w:type="character" w:customStyle="1" w:styleId="LetterCAPSChar">
    <w:name w:val="Letter CAPS Char"/>
    <w:basedOn w:val="LetterHeadingCAPSChar"/>
    <w:link w:val="LetterCAPS"/>
    <w:rsid w:val="006A152E"/>
    <w:rPr>
      <w:rFonts w:ascii="Arial" w:hAnsi="Arial"/>
      <w:b/>
      <w:szCs w:val="24"/>
      <w:lang w:val="en-US" w:eastAsia="en-AU"/>
    </w:rPr>
  </w:style>
  <w:style w:type="character" w:customStyle="1" w:styleId="LetterTitleCAPSChar">
    <w:name w:val="Letter Title CAPS Char"/>
    <w:basedOn w:val="TitleChar"/>
    <w:link w:val="LetterTitleCAPS"/>
    <w:rsid w:val="00325932"/>
    <w:rPr>
      <w:rFonts w:ascii="Arial" w:eastAsiaTheme="majorEastAsia" w:hAnsi="Arial" w:cstheme="majorBidi"/>
      <w:b/>
      <w:caps/>
      <w:spacing w:val="5"/>
      <w:kern w:val="28"/>
      <w:sz w:val="40"/>
      <w:szCs w:val="52"/>
      <w:lang w:eastAsia="en-AU"/>
    </w:rPr>
  </w:style>
  <w:style w:type="paragraph" w:customStyle="1" w:styleId="LetterCAPSTitle">
    <w:name w:val="Letter CAPS Title"/>
    <w:basedOn w:val="Normal"/>
    <w:link w:val="LetterCAPSTitleChar"/>
    <w:qFormat/>
    <w:rsid w:val="00325932"/>
    <w:rPr>
      <w:b/>
      <w:caps/>
      <w:szCs w:val="22"/>
    </w:rPr>
  </w:style>
  <w:style w:type="character" w:customStyle="1" w:styleId="LetterCAPSTitleChar">
    <w:name w:val="Letter CAPS Title Char"/>
    <w:basedOn w:val="DefaultParagraphFont"/>
    <w:link w:val="LetterCAPSTitle"/>
    <w:rsid w:val="00325932"/>
    <w:rPr>
      <w:rFonts w:ascii="Arial" w:hAnsi="Arial"/>
      <w:b/>
      <w:caps/>
      <w:lang w:eastAsia="en-AU"/>
    </w:rPr>
  </w:style>
  <w:style w:type="paragraph" w:customStyle="1" w:styleId="SecurityClassification">
    <w:name w:val="Security Classification"/>
    <w:basedOn w:val="Normal"/>
    <w:link w:val="SecurityClassificationChar"/>
    <w:rsid w:val="002B0A7E"/>
    <w:pPr>
      <w:spacing w:before="600" w:after="120"/>
      <w:jc w:val="center"/>
    </w:pPr>
    <w:rPr>
      <w:rFonts w:cs="Arial"/>
      <w:b/>
      <w:color w:val="FF0000"/>
      <w:sz w:val="24"/>
    </w:rPr>
  </w:style>
  <w:style w:type="character" w:customStyle="1" w:styleId="SecurityClassificationChar">
    <w:name w:val="Security Classification Char"/>
    <w:basedOn w:val="DefaultParagraphFont"/>
    <w:link w:val="SecurityClassification"/>
    <w:rsid w:val="002B0A7E"/>
    <w:rPr>
      <w:rFonts w:ascii="Arial" w:hAnsi="Arial" w:cs="Arial"/>
      <w:b/>
      <w:color w:val="FF0000"/>
      <w:sz w:val="24"/>
      <w:szCs w:val="24"/>
      <w:lang w:eastAsia="en-AU"/>
    </w:rPr>
  </w:style>
  <w:style w:type="character" w:styleId="CommentReference">
    <w:name w:val="annotation reference"/>
    <w:basedOn w:val="DefaultParagraphFont"/>
    <w:uiPriority w:val="99"/>
    <w:semiHidden/>
    <w:unhideWhenUsed/>
    <w:rsid w:val="0036442A"/>
    <w:rPr>
      <w:sz w:val="16"/>
      <w:szCs w:val="16"/>
    </w:rPr>
  </w:style>
  <w:style w:type="paragraph" w:styleId="CommentText">
    <w:name w:val="annotation text"/>
    <w:basedOn w:val="Normal"/>
    <w:link w:val="CommentTextChar"/>
    <w:uiPriority w:val="99"/>
    <w:semiHidden/>
    <w:unhideWhenUsed/>
    <w:rsid w:val="0036442A"/>
    <w:rPr>
      <w:sz w:val="20"/>
      <w:szCs w:val="20"/>
    </w:rPr>
  </w:style>
  <w:style w:type="character" w:customStyle="1" w:styleId="CommentTextChar">
    <w:name w:val="Comment Text Char"/>
    <w:basedOn w:val="DefaultParagraphFont"/>
    <w:link w:val="CommentText"/>
    <w:uiPriority w:val="99"/>
    <w:semiHidden/>
    <w:rsid w:val="0036442A"/>
    <w:rPr>
      <w:rFonts w:ascii="Arial" w:hAnsi="Arial"/>
      <w:sz w:val="20"/>
      <w:szCs w:val="20"/>
      <w:lang w:eastAsia="en-AU"/>
    </w:rPr>
  </w:style>
  <w:style w:type="paragraph" w:styleId="CommentSubject">
    <w:name w:val="annotation subject"/>
    <w:basedOn w:val="CommentText"/>
    <w:next w:val="CommentText"/>
    <w:link w:val="CommentSubjectChar"/>
    <w:uiPriority w:val="99"/>
    <w:semiHidden/>
    <w:unhideWhenUsed/>
    <w:rsid w:val="00F72451"/>
    <w:rPr>
      <w:b/>
      <w:bCs/>
    </w:rPr>
  </w:style>
  <w:style w:type="character" w:customStyle="1" w:styleId="CommentSubjectChar">
    <w:name w:val="Comment Subject Char"/>
    <w:basedOn w:val="CommentTextChar"/>
    <w:link w:val="CommentSubject"/>
    <w:uiPriority w:val="99"/>
    <w:semiHidden/>
    <w:rsid w:val="00F72451"/>
    <w:rPr>
      <w:rFonts w:ascii="Arial" w:hAnsi="Arial"/>
      <w:b/>
      <w:bCs/>
      <w:sz w:val="20"/>
      <w:szCs w:val="20"/>
      <w:lang w:eastAsia="en-AU"/>
    </w:rPr>
  </w:style>
  <w:style w:type="paragraph" w:styleId="Revision">
    <w:name w:val="Revision"/>
    <w:hidden/>
    <w:uiPriority w:val="99"/>
    <w:semiHidden/>
    <w:rsid w:val="00FA07F3"/>
    <w:pPr>
      <w:spacing w:after="0" w:line="240" w:lineRule="auto"/>
    </w:pPr>
    <w:rPr>
      <w:rFonts w:ascii="Arial" w:hAnsi="Arial"/>
      <w:szCs w:val="24"/>
      <w:lang w:eastAsia="en-AU"/>
    </w:rPr>
  </w:style>
  <w:style w:type="paragraph" w:customStyle="1" w:styleId="APRANORMAL">
    <w:name w:val="APRA NORMAL"/>
    <w:basedOn w:val="Normal"/>
    <w:link w:val="APRANORMALChar"/>
    <w:qFormat/>
    <w:rsid w:val="005140BD"/>
    <w:pPr>
      <w:jc w:val="left"/>
    </w:pPr>
    <w:rPr>
      <w:rFonts w:ascii="DIN OT Light" w:eastAsiaTheme="minorHAnsi" w:hAnsi="DIN OT Light"/>
      <w:szCs w:val="22"/>
      <w:lang w:val="en-GB" w:eastAsia="en-US"/>
    </w:rPr>
  </w:style>
  <w:style w:type="character" w:customStyle="1" w:styleId="APRANORMALChar">
    <w:name w:val="APRA NORMAL Char"/>
    <w:basedOn w:val="DefaultParagraphFont"/>
    <w:link w:val="APRANORMAL"/>
    <w:rsid w:val="005140BD"/>
    <w:rPr>
      <w:rFonts w:ascii="DIN OT Light" w:eastAsiaTheme="minorHAnsi" w:hAnsi="DIN OT Light"/>
      <w:lang w:val="en-GB"/>
    </w:rPr>
  </w:style>
  <w:style w:type="table" w:customStyle="1" w:styleId="APRAGlossaryTable">
    <w:name w:val="APRA Glossary Table"/>
    <w:basedOn w:val="TableNormal"/>
    <w:uiPriority w:val="99"/>
    <w:rsid w:val="00053224"/>
    <w:pPr>
      <w:spacing w:before="120" w:line="240" w:lineRule="auto"/>
    </w:pPr>
    <w:rPr>
      <w:rFonts w:ascii="DIN OT Light" w:eastAsiaTheme="minorHAnsi" w:hAnsi="DIN OT Light" w:cstheme="minorBidi"/>
      <w:color w:val="000000" w:themeColor="text1"/>
    </w:rPr>
    <w:tblPr>
      <w:tblBorders>
        <w:insideH w:val="single" w:sz="4" w:space="0" w:color="FFFFFF" w:themeColor="background1"/>
      </w:tblBorders>
    </w:tblPr>
    <w:tcPr>
      <w:shd w:val="clear" w:color="auto" w:fill="F2F2F2" w:themeFill="background1" w:themeFillShade="F2"/>
    </w:tcPr>
    <w:tblStylePr w:type="firstRow">
      <w:rPr>
        <w:rFonts w:ascii="Algerian" w:hAnsi="Algerian"/>
        <w:color w:val="000000" w:themeColor="text1"/>
        <w:sz w:val="22"/>
      </w:rPr>
    </w:tblStylePr>
    <w:tblStylePr w:type="lastRow">
      <w:rPr>
        <w:color w:val="FFFFFF" w:themeColor="background1"/>
      </w:rPr>
    </w:tblStylePr>
    <w:tblStylePr w:type="firstCol">
      <w:pPr>
        <w:wordWrap/>
        <w:spacing w:beforeLines="0" w:before="120" w:beforeAutospacing="0" w:afterLines="0" w:after="120" w:afterAutospacing="0"/>
      </w:pPr>
      <w:rPr>
        <w:rFonts w:ascii="DIN OT Medium" w:hAnsi="DIN OT Medium"/>
        <w:color w:val="FFFFFF" w:themeColor="background1"/>
      </w:rPr>
      <w:tblPr/>
      <w:tcPr>
        <w:shd w:val="clear" w:color="auto" w:fill="1F497D" w:themeFill="text2"/>
      </w:tcPr>
    </w:tblStylePr>
    <w:tblStylePr w:type="nwCell">
      <w:rPr>
        <w:rFonts w:ascii="DIN OT Medium" w:hAnsi="DIN OT Medium"/>
        <w:color w:val="FFFFFF" w:themeColor="background1"/>
      </w:rPr>
      <w:tblPr/>
      <w:tcPr>
        <w:shd w:val="clear" w:color="auto" w:fill="1F497D" w:themeFill="text2"/>
      </w:tcPr>
    </w:tblStylePr>
  </w:style>
  <w:style w:type="paragraph" w:customStyle="1" w:styleId="FigureHeadNumber">
    <w:name w:val="Figure Head Number"/>
    <w:basedOn w:val="Normal"/>
    <w:next w:val="Normal"/>
    <w:qFormat/>
    <w:rsid w:val="000B0728"/>
    <w:pPr>
      <w:keepNext/>
      <w:numPr>
        <w:numId w:val="20"/>
      </w:numPr>
      <w:tabs>
        <w:tab w:val="left" w:pos="1134"/>
      </w:tabs>
      <w:spacing w:before="240" w:after="120"/>
      <w:ind w:left="1134" w:hanging="1134"/>
      <w:jc w:val="left"/>
      <w:outlineLvl w:val="4"/>
    </w:pPr>
    <w:rPr>
      <w:rFonts w:ascii="DIN OT Medium" w:eastAsiaTheme="minorHAnsi" w:hAnsi="DIN OT Medium" w:cstheme="minorBidi"/>
      <w:i/>
      <w:color w:val="00000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APRA">
  <a:themeElements>
    <a:clrScheme name="APRA">
      <a:dk1>
        <a:sysClr val="windowText" lastClr="000000"/>
      </a:dk1>
      <a:lt1>
        <a:sysClr val="window" lastClr="FFFFFF"/>
      </a:lt1>
      <a:dk2>
        <a:srgbClr val="1F497D"/>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RA">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p:properties xmlns:p="http://schemas.microsoft.com/office/2006/metadata/properties" xmlns:xsi="http://www.w3.org/2001/XMLSchema-instance" xmlns:pc="http://schemas.microsoft.com/office/infopath/2007/PartnerControls">
  <documentManagement>
    <APRADocScanCheck xmlns="814d62cb-2db6-4c25-ab62-b9075facbc11">false</APRADocScanCheck>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l003ee8eff60461aa1bd0027aba92ea4 xmlns="814d62cb-2db6-4c25-ab62-b9075facbc11">
      <Terms xmlns="http://schemas.microsoft.com/office/infopath/2007/PartnerControls"/>
    </l003ee8eff60461aa1bd0027aba92ea4>
    <APRASecurityClassification xmlns="814d62cb-2db6-4c25-ab62-b9075facbc11">UNCLASSIFIED</APRASecurityClassification>
    <p10c80fc2da942ae8f2ea9b33b6ea0ba xmlns="814d62cb-2db6-4c25-ab62-b9075facbc11">
      <Terms xmlns="http://schemas.microsoft.com/office/infopath/2007/PartnerControls"/>
    </p10c80fc2da942ae8f2ea9b33b6ea0ba>
    <_dlc_DocId xmlns="814d62cb-2db6-4c25-ab62-b9075facbc11">5PCYMS3VTAUD-626204655-4912</_dlc_DocId>
    <APRAOwner xmlns="814d62cb-2db6-4c25-ab62-b9075facbc11">
      <UserInfo>
        <DisplayName/>
        <AccountId xsi:nil="true"/>
        <AccountType/>
      </UserInfo>
    </APRAOwner>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APRADescription xmlns="814d62cb-2db6-4c25-ab62-b9075facbc11" xsi:nil="true"/>
    <APRAActivityID xmlns="814d62cb-2db6-4c25-ab62-b9075facbc11" xsi:nil="true"/>
    <APRAApprovedBy xmlns="814d62cb-2db6-4c25-ab62-b9075facbc11">
      <UserInfo>
        <DisplayName/>
        <AccountId xsi:nil="true"/>
        <AccountType/>
      </UserInfo>
    </APRAApprovedBy>
    <APRAMeetingNumber xmlns="814d62cb-2db6-4c25-ab62-b9075facbc11" xsi:nil="true"/>
    <i08e72d8ce2b4ffa9361f9f4e0a63abc xmlns="814d62cb-2db6-4c25-ab62-b9075facbc11">
      <Terms xmlns="http://schemas.microsoft.com/office/infopath/2007/PartnerControls"/>
    </i08e72d8ce2b4ffa9361f9f4e0a63abc>
    <APRAKeywords xmlns="814d62cb-2db6-4c25-ab62-b9075facbc11" xsi:nil="true"/>
    <APRAMeetingDate xmlns="814d62cb-2db6-4c25-ab62-b9075facbc11" xsi:nil="true"/>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Guidance</TermName>
          <TermId xmlns="http://schemas.microsoft.com/office/infopath/2007/PartnerControls">35466bd7-aac6-427d-ba02-b8ab37f12621</TermId>
        </TermInfo>
      </Terms>
    </i05115a133414b4dabee2531e4b46b67>
    <ic4067bd02f14cf3a95ad35878404a71 xmlns="814d62cb-2db6-4c25-ab62-b9075facbc11">
      <Terms xmlns="http://schemas.microsoft.com/office/infopath/2007/PartnerControls"/>
    </ic4067bd02f14cf3a95ad35878404a71>
    <k4bcc0d734474fea9fb713d9c415b4b0 xmlns="814d62cb-2db6-4c25-ab62-b9075facbc11">
      <Terms xmlns="http://schemas.microsoft.com/office/infopath/2007/PartnerControls"/>
    </k4bcc0d734474fea9fb713d9c415b4b0>
    <_dlc_DocIdUrl xmlns="814d62cb-2db6-4c25-ab62-b9075facbc11">
      <Url>https://im/teams/POLICYADI/_layouts/15/DocIdRedir.aspx?ID=5PCYMS3VTAUD-626204655-4912</Url>
      <Description>5PCYMS3VTAUD-626204655-4912</Description>
    </_dlc_DocIdUrl>
    <j724204a644741eb9f777fcb03fe8840 xmlns="814d62cb-2db6-4c25-ab62-b9075facbc11">
      <Terms xmlns="http://schemas.microsoft.com/office/infopath/2007/PartnerControls">
        <TermInfo xmlns="http://schemas.microsoft.com/office/infopath/2007/PartnerControls">
          <TermName xmlns="http://schemas.microsoft.com/office/infopath/2007/PartnerControls">Governance</TermName>
          <TermId xmlns="http://schemas.microsoft.com/office/infopath/2007/PartnerControls">08ee26fa-56a7-449f-a5fa-3e3f5ef21754</TermId>
        </TermInfo>
      </Terms>
    </j724204a644741eb9f777fcb03fe8840>
    <APRADate xmlns="814d62cb-2db6-4c25-ab62-b9075facbc11" xsi:nil="true"/>
    <aa36a5a650d54f768f171f4d17b8b238 xmlns="814d62cb-2db6-4c25-ab62-b9075facbc11">
      <Terms xmlns="http://schemas.microsoft.com/office/infopath/2007/PartnerControls"/>
    </aa36a5a650d54f768f171f4d17b8b238>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fd500ee8-1730-4559-a78d-ac5886da2fc9</TermId>
        </TermInfo>
      </Terms>
    </h67caa35a4114acd8e15fe89b3f29f9e>
    <APRAApprovalDate xmlns="814d62cb-2db6-4c25-ab62-b9075facbc11" xsi:nil="true"/>
    <TaxCatchAll xmlns="814d62cb-2db6-4c25-ab62-b9075facbc11">
      <Value>32</Value>
      <Value>378</Value>
      <Value>1</Value>
      <Value>35</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66A5C421D8AD4F439F9FF2A1FED828D5" ma:contentTypeVersion="41" ma:contentTypeDescription="Create a new document." ma:contentTypeScope="" ma:versionID="290506168a0e5d783e88b4822f76bdb8">
  <xsd:schema xmlns:xsd="http://www.w3.org/2001/XMLSchema" xmlns:xs="http://www.w3.org/2001/XMLSchema" xmlns:p="http://schemas.microsoft.com/office/2006/metadata/properties" xmlns:ns1="814d62cb-2db6-4c25-ab62-b9075facbc11" targetNamespace="http://schemas.microsoft.com/office/2006/metadata/properties" ma:root="true" ma:fieldsID="9707788a614300ecdad378b31d0c432d"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39d06302-02ef-4e2e-abab-b971cd9d1b12}" ma:internalName="TaxCatchAll" ma:showField="CatchAllData" ma:web="6cf21f76-089f-49aa-b976-a2f63c0fa512">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39d06302-02ef-4e2e-abab-b971cd9d1b12}" ma:internalName="TaxCatchAllLabel" ma:readOnly="true" ma:showField="CatchAllDataLabel" ma:web="6cf21f76-089f-49aa-b976-a2f63c0fa512">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default="" ma:fieldId="{3724204a-6447-41eb-9f77-7fcb03fe8840}" ma:taxonomyMulti="true" ma:sspId="8aef97a4-ded2-4e4a-9fbc-e666dae3ecd2" ma:termSetId="bc69aadb-e477-43ee-ac85-2690ed5e70c7"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C109A-EAC0-4AB9-AACB-02E6CDCD4A9A}">
  <ds:schemaRefs>
    <ds:schemaRef ds:uri="Microsoft.SharePoint.Taxonomy.ContentTypeSync"/>
  </ds:schemaRefs>
</ds:datastoreItem>
</file>

<file path=customXml/itemProps2.xml><?xml version="1.0" encoding="utf-8"?>
<ds:datastoreItem xmlns:ds="http://schemas.openxmlformats.org/officeDocument/2006/customXml" ds:itemID="{09F7D05F-22EC-4899-8C7B-57D317BF6448}">
  <ds:schemaRefs>
    <ds:schemaRef ds:uri="http://schemas.microsoft.com/office/2006/metadata/properties"/>
    <ds:schemaRef ds:uri="http://schemas.microsoft.com/office/infopath/2007/PartnerControls"/>
    <ds:schemaRef ds:uri="814d62cb-2db6-4c25-ab62-b9075facbc11"/>
  </ds:schemaRefs>
</ds:datastoreItem>
</file>

<file path=customXml/itemProps3.xml><?xml version="1.0" encoding="utf-8"?>
<ds:datastoreItem xmlns:ds="http://schemas.openxmlformats.org/officeDocument/2006/customXml" ds:itemID="{6E903BDF-3A37-465B-8758-A9288A6FB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4CA185-6A37-447F-B5C0-2F052915B4E3}">
  <ds:schemaRefs>
    <ds:schemaRef ds:uri="http://schemas.microsoft.com/sharepoint/v3/contenttype/forms"/>
  </ds:schemaRefs>
</ds:datastoreItem>
</file>

<file path=customXml/itemProps5.xml><?xml version="1.0" encoding="utf-8"?>
<ds:datastoreItem xmlns:ds="http://schemas.openxmlformats.org/officeDocument/2006/customXml" ds:itemID="{08D004BE-0F74-4743-90AD-5A5BC1CB7B23}">
  <ds:schemaRefs>
    <ds:schemaRef ds:uri="http://schemas.microsoft.com/office/2006/customDocumentInformationPanel"/>
  </ds:schemaRefs>
</ds:datastoreItem>
</file>

<file path=customXml/itemProps6.xml><?xml version="1.0" encoding="utf-8"?>
<ds:datastoreItem xmlns:ds="http://schemas.openxmlformats.org/officeDocument/2006/customXml" ds:itemID="{191CAE01-00AA-4038-B224-F5FBF14DAFF6}">
  <ds:schemaRefs>
    <ds:schemaRef ds:uri="http://schemas.microsoft.com/sharepoint/events"/>
  </ds:schemaRefs>
</ds:datastoreItem>
</file>

<file path=customXml/itemProps7.xml><?xml version="1.0" encoding="utf-8"?>
<ds:datastoreItem xmlns:ds="http://schemas.openxmlformats.org/officeDocument/2006/customXml" ds:itemID="{FC188DF6-F5B4-42CE-B89E-C42252311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1974</Words>
  <Characters>11987</Characters>
  <Application>Microsoft Office Word</Application>
  <DocSecurity>4</DocSecurity>
  <Lines>293</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Accountability Statement Template</dc:title>
  <dc:subject/>
  <dc:creator/>
  <cp:keywords>[SEC=UNCLASSIFIED]</cp:keywords>
  <dc:description/>
  <cp:lastModifiedBy/>
  <cp:revision>1</cp:revision>
  <dcterms:created xsi:type="dcterms:W3CDTF">2018-10-22T04:07:00Z</dcterms:created>
  <dcterms:modified xsi:type="dcterms:W3CDTF">2018-10-22T04:07:00Z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Locked">
    <vt:lpwstr>Yes</vt:lpwstr>
  </property>
  <property fmtid="{D5CDD505-2E9C-101B-9397-08002B2CF9AE}" pid="3" name="RecordPoint_SubmissionDate">
    <vt:lpwstr/>
  </property>
  <property fmtid="{D5CDD505-2E9C-101B-9397-08002B2CF9AE}" pid="4" name="PM_Originator_Hash_SHA1">
    <vt:lpwstr>D61B51468B72F5BC0807C2D75F7781BC17C84F34</vt:lpwstr>
  </property>
  <property fmtid="{D5CDD505-2E9C-101B-9397-08002B2CF9AE}" pid="5" name="RecordPoint_RecordNumberSubmitted">
    <vt:lpwstr>R0000489154</vt:lpwstr>
  </property>
  <property fmtid="{D5CDD505-2E9C-101B-9397-08002B2CF9AE}" pid="6" name="PM_ProtectiveMarkingImage_Header">
    <vt:lpwstr>C:\Program Files (x86)\Common Files\janusNET Shared\janusSEAL\Images\DocumentSlashBlue.png</vt:lpwstr>
  </property>
  <property fmtid="{D5CDD505-2E9C-101B-9397-08002B2CF9AE}" pid="7" name="APRACostCentre">
    <vt:lpwstr/>
  </property>
  <property fmtid="{D5CDD505-2E9C-101B-9397-08002B2CF9AE}" pid="8" name="ContentTypeId">
    <vt:lpwstr>0x0101008CA7A4F8331B45C7B0D3158B4994D0CA020066A5C421D8AD4F439F9FF2A1FED828D5</vt:lpwstr>
  </property>
  <property fmtid="{D5CDD505-2E9C-101B-9397-08002B2CF9AE}" pid="9" name="PM_ProtectiveMarkingImage_Footer">
    <vt:lpwstr>C:\Program Files (x86)\Common Files\janusNET Shared\janusSEAL\Images\DocumentSlashBlue.png</vt:lpwstr>
  </property>
  <property fmtid="{D5CDD505-2E9C-101B-9397-08002B2CF9AE}" pid="10" name="RecordPoint_WorkflowType">
    <vt:lpwstr>ActiveSubmitStub</vt:lpwstr>
  </property>
  <property fmtid="{D5CDD505-2E9C-101B-9397-08002B2CF9AE}" pid="11" name="PM_DisplayValueSecClassificationWithQualifier">
    <vt:lpwstr>UNCLASSIFIED</vt:lpwstr>
  </property>
  <property fmtid="{D5CDD505-2E9C-101B-9397-08002B2CF9AE}" pid="12" name="PM_ProtectiveMarkingValue_Header">
    <vt:lpwstr>UNCLASSIFIED</vt:lpwstr>
  </property>
  <property fmtid="{D5CDD505-2E9C-101B-9397-08002B2CF9AE}" pid="13" name="PM_Hash_Version">
    <vt:lpwstr>2016.1</vt:lpwstr>
  </property>
  <property fmtid="{D5CDD505-2E9C-101B-9397-08002B2CF9AE}" pid="14" name="IT system type">
    <vt:lpwstr/>
  </property>
  <property fmtid="{D5CDD505-2E9C-101B-9397-08002B2CF9AE}" pid="15" name="PM_Hash_SHA1">
    <vt:lpwstr>BFD2138CF73A9D9B3FDF368FD81127888636105D</vt:lpwstr>
  </property>
  <property fmtid="{D5CDD505-2E9C-101B-9397-08002B2CF9AE}" pid="16" name="PM_Originating_FileId">
    <vt:lpwstr>FCDE1785CEF443B6803029BABD433C27</vt:lpwstr>
  </property>
  <property fmtid="{D5CDD505-2E9C-101B-9397-08002B2CF9AE}" pid="17" name="APRACategory">
    <vt:lpwstr>378;#Governance|08ee26fa-56a7-449f-a5fa-3e3f5ef21754</vt:lpwstr>
  </property>
  <property fmtid="{D5CDD505-2E9C-101B-9397-08002B2CF9AE}" pid="18" name="_dlc_DocIdItemGuid">
    <vt:lpwstr>4f3f8e3f-1cd0-463f-a340-3c7e8e4a951a</vt:lpwstr>
  </property>
  <property fmtid="{D5CDD505-2E9C-101B-9397-08002B2CF9AE}" pid="19" name="PM_Version">
    <vt:lpwstr>2012.3</vt:lpwstr>
  </property>
  <property fmtid="{D5CDD505-2E9C-101B-9397-08002B2CF9AE}" pid="20" name="PM_Hash_Salt_Prev">
    <vt:lpwstr>390ED8030A297A8252FF01CA048C0F8A</vt:lpwstr>
  </property>
  <property fmtid="{D5CDD505-2E9C-101B-9397-08002B2CF9AE}" pid="21" name="APRAPRSG">
    <vt:lpwstr/>
  </property>
  <property fmtid="{D5CDD505-2E9C-101B-9397-08002B2CF9AE}" pid="22" name="APRADocumentType">
    <vt:lpwstr>32;#Template|fd500ee8-1730-4559-a78d-ac5886da2fc9</vt:lpwstr>
  </property>
  <property fmtid="{D5CDD505-2E9C-101B-9397-08002B2CF9AE}" pid="23" name="APRAStatus">
    <vt:lpwstr>1;#Draft|0e1556d2-3fe8-443a-ada7-3620563b46b3</vt:lpwstr>
  </property>
  <property fmtid="{D5CDD505-2E9C-101B-9397-08002B2CF9AE}" pid="24" name="RecordPoint_ActiveItemSiteId">
    <vt:lpwstr>{673c3c09-c2de-4447-b34a-12048cb74e15}</vt:lpwstr>
  </property>
  <property fmtid="{D5CDD505-2E9C-101B-9397-08002B2CF9AE}" pid="25" name="PM_Qualifier">
    <vt:lpwstr/>
  </property>
  <property fmtid="{D5CDD505-2E9C-101B-9397-08002B2CF9AE}" pid="26" name="APRAActivity">
    <vt:lpwstr>35;#Guidance|35466bd7-aac6-427d-ba02-b8ab37f12621</vt:lpwstr>
  </property>
  <property fmtid="{D5CDD505-2E9C-101B-9397-08002B2CF9AE}" pid="27" name="APRAEntityAdviceSupport">
    <vt:lpwstr/>
  </property>
  <property fmtid="{D5CDD505-2E9C-101B-9397-08002B2CF9AE}" pid="28" name="RecordPoint_ActiveItemListId">
    <vt:lpwstr>{54723745-d72c-4003-be6c-0dd489a7c0f4}</vt:lpwstr>
  </property>
  <property fmtid="{D5CDD505-2E9C-101B-9397-08002B2CF9AE}" pid="29" name="APRALegislation">
    <vt:lpwstr/>
  </property>
  <property fmtid="{D5CDD505-2E9C-101B-9397-08002B2CF9AE}" pid="30" name="APRAYear">
    <vt:lpwstr/>
  </property>
  <property fmtid="{D5CDD505-2E9C-101B-9397-08002B2CF9AE}" pid="31" name="APRAIndustry">
    <vt:lpwstr/>
  </property>
  <property fmtid="{D5CDD505-2E9C-101B-9397-08002B2CF9AE}" pid="32" name="RecordPoint_ActiveItemUniqueId">
    <vt:lpwstr>{4f3f8e3f-1cd0-463f-a340-3c7e8e4a951a}</vt:lpwstr>
  </property>
  <property fmtid="{D5CDD505-2E9C-101B-9397-08002B2CF9AE}" pid="33" name="RecordPoint_ActiveItemMoved">
    <vt:lpwstr/>
  </property>
  <property fmtid="{D5CDD505-2E9C-101B-9397-08002B2CF9AE}" pid="34" name="RecordPoint_RecordFormat">
    <vt:lpwstr/>
  </property>
  <property fmtid="{D5CDD505-2E9C-101B-9397-08002B2CF9AE}" pid="35" name="RecordPoint_SubmissionCompleted">
    <vt:lpwstr>2018-10-17T14:38:29.7879726+11:00</vt:lpwstr>
  </property>
  <property fmtid="{D5CDD505-2E9C-101B-9397-08002B2CF9AE}" pid="36" name="PM_ProtectiveMarkingValue_Footer">
    <vt:lpwstr>UNCLASSIFIED</vt:lpwstr>
  </property>
  <property fmtid="{D5CDD505-2E9C-101B-9397-08002B2CF9AE}" pid="37" name="PM_InsertionValue">
    <vt:lpwstr>UNCLASSIFIED</vt:lpwstr>
  </property>
  <property fmtid="{D5CDD505-2E9C-101B-9397-08002B2CF9AE}" pid="38" name="APRAExternalOrganisation">
    <vt:lpwstr/>
  </property>
  <property fmtid="{D5CDD505-2E9C-101B-9397-08002B2CF9AE}" pid="39" name="PM_SecurityClassification">
    <vt:lpwstr>UNCLASSIFIED</vt:lpwstr>
  </property>
  <property fmtid="{D5CDD505-2E9C-101B-9397-08002B2CF9AE}" pid="40" name="PM_OriginationTimeStamp">
    <vt:lpwstr>2018-08-07T01:18:55Z</vt:lpwstr>
  </property>
  <property fmtid="{D5CDD505-2E9C-101B-9397-08002B2CF9AE}" pid="41" name="PM_Hash_Salt">
    <vt:lpwstr>390ED8030A297A8252FF01CA048C0F8A</vt:lpwstr>
  </property>
  <property fmtid="{D5CDD505-2E9C-101B-9397-08002B2CF9AE}" pid="42" name="APRAIRTR">
    <vt:lpwstr/>
  </property>
  <property fmtid="{D5CDD505-2E9C-101B-9397-08002B2CF9AE}" pid="43" name="APRAPeriod">
    <vt:lpwstr/>
  </property>
  <property fmtid="{D5CDD505-2E9C-101B-9397-08002B2CF9AE}" pid="44" name="PM_Caveats_Count">
    <vt:lpwstr>0</vt:lpwstr>
  </property>
  <property fmtid="{D5CDD505-2E9C-101B-9397-08002B2CF9AE}" pid="45" name="RecordPoint_ActiveItemWebId">
    <vt:lpwstr>{6cf21f76-089f-49aa-b976-a2f63c0fa512}</vt:lpwstr>
  </property>
  <property fmtid="{D5CDD505-2E9C-101B-9397-08002B2CF9AE}" pid="46" name="PM_Namespace">
    <vt:lpwstr>gov.au</vt:lpwstr>
  </property>
</Properties>
</file>