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FEEA" w14:textId="1CE627B6" w:rsidR="002E7C24" w:rsidRPr="007F1CAC" w:rsidRDefault="002E7C24" w:rsidP="002E7C24">
      <w:pPr>
        <w:pStyle w:val="Heading1"/>
      </w:pPr>
      <w:r w:rsidRPr="007F1CAC">
        <w:t>SRS 535.0 Asset Allocation - Worked example</w:t>
      </w:r>
    </w:p>
    <w:p w14:paraId="7C64C39A" w14:textId="77777777" w:rsidR="002E7C24" w:rsidRPr="002E7C24" w:rsidRDefault="002E7C24" w:rsidP="002E7C24">
      <w:pPr>
        <w:pStyle w:val="Heading3"/>
      </w:pPr>
      <w:r w:rsidRPr="002E7C24">
        <w:t xml:space="preserve">Introduction </w:t>
      </w:r>
    </w:p>
    <w:p w14:paraId="40B0E0F5" w14:textId="0DC866F4" w:rsidR="002E7C24" w:rsidRDefault="002E7C24" w:rsidP="002E7C24">
      <w:r>
        <w:t>This document details a simplified example of reporting under draft “</w:t>
      </w:r>
      <w:r w:rsidRPr="00897245">
        <w:t xml:space="preserve">SRS </w:t>
      </w:r>
      <w:r>
        <w:t>535</w:t>
      </w:r>
      <w:r w:rsidRPr="00897245">
        <w:t xml:space="preserve">.0 </w:t>
      </w:r>
      <w:r>
        <w:t>Asset Allocation”</w:t>
      </w:r>
      <w:r w:rsidRPr="009B02FF">
        <w:rPr>
          <w:i/>
        </w:rPr>
        <w:t xml:space="preserve"> </w:t>
      </w:r>
      <w:r>
        <w:t xml:space="preserve">(SRS 535.0) to provide clarity and promote consistency in compiling pilot data and submission responses for consultation on this topic.  </w:t>
      </w:r>
    </w:p>
    <w:p w14:paraId="5E5D9377" w14:textId="77777777" w:rsidR="00C52CBA" w:rsidRDefault="00C52CBA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b/>
          <w:bCs/>
          <w:color w:val="auto"/>
          <w:sz w:val="24"/>
          <w:szCs w:val="24"/>
        </w:rPr>
      </w:pPr>
    </w:p>
    <w:p w14:paraId="5D6C4C8F" w14:textId="681EFF18" w:rsidR="00676BC6" w:rsidRPr="00676BC6" w:rsidRDefault="00294033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b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="Cordia New"/>
          <w:b/>
          <w:bCs/>
          <w:color w:val="auto"/>
          <w:sz w:val="24"/>
          <w:szCs w:val="24"/>
        </w:rPr>
        <w:t xml:space="preserve">SRF 550.0: Table 1, </w:t>
      </w:r>
      <w:r w:rsidR="00676BC6" w:rsidRPr="00676BC6">
        <w:rPr>
          <w:rFonts w:asciiTheme="minorHAnsi" w:eastAsia="Times New Roman" w:hAnsiTheme="minorHAnsi" w:cs="Cordia New"/>
          <w:b/>
          <w:bCs/>
          <w:color w:val="auto"/>
          <w:sz w:val="24"/>
          <w:szCs w:val="24"/>
        </w:rPr>
        <w:t>Strategic Asset Allocation</w:t>
      </w:r>
    </w:p>
    <w:p w14:paraId="1EC1F52D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b/>
          <w:bCs/>
          <w:color w:val="auto"/>
        </w:rPr>
      </w:pPr>
      <w:r w:rsidRPr="00676BC6">
        <w:rPr>
          <w:rFonts w:asciiTheme="minorHAnsi" w:eastAsia="Times New Roman" w:hAnsiTheme="minorHAnsi" w:cs="Cordia New"/>
          <w:b/>
          <w:bCs/>
          <w:color w:val="auto"/>
        </w:rPr>
        <w:t>ABC Superannuation</w:t>
      </w:r>
    </w:p>
    <w:p w14:paraId="11E7700E" w14:textId="7BF04C1C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>ABC Superannuation’s</w:t>
      </w:r>
      <w:r w:rsidR="00D411ED">
        <w:rPr>
          <w:rFonts w:asciiTheme="minorHAnsi" w:eastAsia="Times New Roman" w:hAnsiTheme="minorHAnsi" w:cs="Cordia New"/>
          <w:color w:val="auto"/>
        </w:rPr>
        <w:t xml:space="preserve"> Investment Policy Statement (IPS) indicates the following strategic asset allocation</w:t>
      </w:r>
      <w:r w:rsidRPr="00676BC6">
        <w:rPr>
          <w:rFonts w:asciiTheme="minorHAnsi" w:eastAsia="Times New Roman" w:hAnsiTheme="minorHAnsi" w:cs="Cordia New"/>
          <w:color w:val="auto"/>
        </w:rPr>
        <w:t xml:space="preserve"> for their Balanced investment </w:t>
      </w:r>
      <w:r w:rsidR="00D411ED">
        <w:rPr>
          <w:rFonts w:asciiTheme="minorHAnsi" w:eastAsia="Times New Roman" w:hAnsiTheme="minorHAnsi" w:cs="Cordia New"/>
          <w:color w:val="auto"/>
        </w:rPr>
        <w:t>option,</w:t>
      </w:r>
      <w:r w:rsidRPr="00676BC6">
        <w:rPr>
          <w:rFonts w:asciiTheme="minorHAnsi" w:eastAsia="Times New Roman" w:hAnsiTheme="minorHAnsi" w:cs="Cordia New"/>
          <w:color w:val="auto"/>
        </w:rPr>
        <w:t xml:space="preserve"> which includes currency hedging targets set at the asset class level:</w:t>
      </w:r>
    </w:p>
    <w:p w14:paraId="76C27F1B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1285"/>
        <w:gridCol w:w="1134"/>
        <w:gridCol w:w="1134"/>
        <w:gridCol w:w="1701"/>
      </w:tblGrid>
      <w:tr w:rsidR="00676BC6" w:rsidRPr="00676BC6" w14:paraId="199A976F" w14:textId="77777777" w:rsidTr="0049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E932D97" w14:textId="77777777" w:rsidR="00676BC6" w:rsidRPr="00676BC6" w:rsidRDefault="00676BC6" w:rsidP="00676BC6">
            <w:pPr>
              <w:spacing w:after="160" w:line="259" w:lineRule="auto"/>
              <w:jc w:val="center"/>
              <w:rPr>
                <w:color w:val="auto"/>
              </w:rPr>
            </w:pPr>
            <w:r w:rsidRPr="00676BC6">
              <w:rPr>
                <w:color w:val="auto"/>
              </w:rPr>
              <w:t>Asset Class</w:t>
            </w:r>
          </w:p>
        </w:tc>
        <w:tc>
          <w:tcPr>
            <w:tcW w:w="1285" w:type="dxa"/>
          </w:tcPr>
          <w:p w14:paraId="0F48BA39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Allocation</w:t>
            </w:r>
          </w:p>
        </w:tc>
        <w:tc>
          <w:tcPr>
            <w:tcW w:w="1134" w:type="dxa"/>
          </w:tcPr>
          <w:p w14:paraId="741CD14E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Lower</w:t>
            </w:r>
          </w:p>
        </w:tc>
        <w:tc>
          <w:tcPr>
            <w:tcW w:w="1134" w:type="dxa"/>
          </w:tcPr>
          <w:p w14:paraId="10968ACF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Upper</w:t>
            </w:r>
          </w:p>
        </w:tc>
        <w:tc>
          <w:tcPr>
            <w:tcW w:w="1701" w:type="dxa"/>
          </w:tcPr>
          <w:p w14:paraId="7A57E935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Currency Hedging Target</w:t>
            </w:r>
          </w:p>
        </w:tc>
      </w:tr>
      <w:tr w:rsidR="00676BC6" w:rsidRPr="00676BC6" w14:paraId="6D018BAD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AB0367E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Australian equities</w:t>
            </w:r>
          </w:p>
        </w:tc>
        <w:tc>
          <w:tcPr>
            <w:tcW w:w="1285" w:type="dxa"/>
          </w:tcPr>
          <w:p w14:paraId="35277051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20%</w:t>
            </w:r>
          </w:p>
        </w:tc>
        <w:tc>
          <w:tcPr>
            <w:tcW w:w="1134" w:type="dxa"/>
          </w:tcPr>
          <w:p w14:paraId="450CA685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115D2704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40%</w:t>
            </w:r>
          </w:p>
        </w:tc>
        <w:tc>
          <w:tcPr>
            <w:tcW w:w="1701" w:type="dxa"/>
          </w:tcPr>
          <w:p w14:paraId="3DAE911B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BC6" w:rsidRPr="00676BC6" w14:paraId="63C293BD" w14:textId="77777777" w:rsidTr="00491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F586800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International equities</w:t>
            </w:r>
          </w:p>
        </w:tc>
        <w:tc>
          <w:tcPr>
            <w:tcW w:w="1285" w:type="dxa"/>
          </w:tcPr>
          <w:p w14:paraId="2D9AC774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30%</w:t>
            </w:r>
          </w:p>
        </w:tc>
        <w:tc>
          <w:tcPr>
            <w:tcW w:w="1134" w:type="dxa"/>
          </w:tcPr>
          <w:p w14:paraId="25E285EF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7E38DEAA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40%</w:t>
            </w:r>
          </w:p>
        </w:tc>
        <w:tc>
          <w:tcPr>
            <w:tcW w:w="1701" w:type="dxa"/>
          </w:tcPr>
          <w:p w14:paraId="66C30C7A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50%</w:t>
            </w:r>
          </w:p>
        </w:tc>
      </w:tr>
      <w:tr w:rsidR="00676BC6" w:rsidRPr="00676BC6" w14:paraId="1EF7D6E3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AAA9752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Fixed income</w:t>
            </w:r>
          </w:p>
        </w:tc>
        <w:tc>
          <w:tcPr>
            <w:tcW w:w="1285" w:type="dxa"/>
          </w:tcPr>
          <w:p w14:paraId="3D7C0094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592EF4CC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79721770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20%</w:t>
            </w:r>
          </w:p>
        </w:tc>
        <w:tc>
          <w:tcPr>
            <w:tcW w:w="1701" w:type="dxa"/>
          </w:tcPr>
          <w:p w14:paraId="28FA2205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BC6" w:rsidRPr="00676BC6" w14:paraId="7F2A1856" w14:textId="77777777" w:rsidTr="00491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4FB775E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Credit</w:t>
            </w:r>
          </w:p>
        </w:tc>
        <w:tc>
          <w:tcPr>
            <w:tcW w:w="1285" w:type="dxa"/>
          </w:tcPr>
          <w:p w14:paraId="5E1F0DC4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5%</w:t>
            </w:r>
          </w:p>
        </w:tc>
        <w:tc>
          <w:tcPr>
            <w:tcW w:w="1134" w:type="dxa"/>
          </w:tcPr>
          <w:p w14:paraId="685FF004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4387C529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20%</w:t>
            </w:r>
          </w:p>
        </w:tc>
        <w:tc>
          <w:tcPr>
            <w:tcW w:w="1701" w:type="dxa"/>
          </w:tcPr>
          <w:p w14:paraId="4AA38B76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BC6" w:rsidRPr="00676BC6" w14:paraId="36387B36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CF49FB8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Property</w:t>
            </w:r>
          </w:p>
        </w:tc>
        <w:tc>
          <w:tcPr>
            <w:tcW w:w="1285" w:type="dxa"/>
          </w:tcPr>
          <w:p w14:paraId="1FA00EB7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5A615726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63593062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40%</w:t>
            </w:r>
          </w:p>
        </w:tc>
        <w:tc>
          <w:tcPr>
            <w:tcW w:w="1701" w:type="dxa"/>
          </w:tcPr>
          <w:p w14:paraId="6FA208CC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BC6" w:rsidRPr="00676BC6" w14:paraId="33A73ED2" w14:textId="77777777" w:rsidTr="00491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FDB9F42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Infrastructure</w:t>
            </w:r>
          </w:p>
        </w:tc>
        <w:tc>
          <w:tcPr>
            <w:tcW w:w="1285" w:type="dxa"/>
          </w:tcPr>
          <w:p w14:paraId="17797C3F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2AA04B7D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627CC2A4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20%</w:t>
            </w:r>
          </w:p>
        </w:tc>
        <w:tc>
          <w:tcPr>
            <w:tcW w:w="1701" w:type="dxa"/>
          </w:tcPr>
          <w:p w14:paraId="6743EB50" w14:textId="1CF6385A" w:rsidR="00676BC6" w:rsidRPr="00676BC6" w:rsidRDefault="0080286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  <w:r w:rsidR="00FE67BC">
              <w:t>%</w:t>
            </w:r>
          </w:p>
        </w:tc>
      </w:tr>
      <w:tr w:rsidR="00676BC6" w:rsidRPr="00676BC6" w14:paraId="5E9B4E42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221C134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Private Equity</w:t>
            </w:r>
          </w:p>
        </w:tc>
        <w:tc>
          <w:tcPr>
            <w:tcW w:w="1285" w:type="dxa"/>
          </w:tcPr>
          <w:p w14:paraId="53FDA33C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5%</w:t>
            </w:r>
          </w:p>
        </w:tc>
        <w:tc>
          <w:tcPr>
            <w:tcW w:w="1134" w:type="dxa"/>
          </w:tcPr>
          <w:p w14:paraId="446C093E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7FAB5E32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701" w:type="dxa"/>
          </w:tcPr>
          <w:p w14:paraId="6C4999B9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BC6" w:rsidRPr="00676BC6" w14:paraId="41C60CDC" w14:textId="77777777" w:rsidTr="00491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7162427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Growth alternatives</w:t>
            </w:r>
          </w:p>
        </w:tc>
        <w:tc>
          <w:tcPr>
            <w:tcW w:w="1285" w:type="dxa"/>
          </w:tcPr>
          <w:p w14:paraId="7775AE67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3%</w:t>
            </w:r>
          </w:p>
        </w:tc>
        <w:tc>
          <w:tcPr>
            <w:tcW w:w="1134" w:type="dxa"/>
          </w:tcPr>
          <w:p w14:paraId="78B09522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295632F6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5%</w:t>
            </w:r>
          </w:p>
        </w:tc>
        <w:tc>
          <w:tcPr>
            <w:tcW w:w="1701" w:type="dxa"/>
          </w:tcPr>
          <w:p w14:paraId="6AEDD9B6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BC6" w:rsidRPr="00676BC6" w14:paraId="5E1FFB41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5E82392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Defensive alternatives</w:t>
            </w:r>
          </w:p>
        </w:tc>
        <w:tc>
          <w:tcPr>
            <w:tcW w:w="1285" w:type="dxa"/>
          </w:tcPr>
          <w:p w14:paraId="15A9751A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2%</w:t>
            </w:r>
          </w:p>
        </w:tc>
        <w:tc>
          <w:tcPr>
            <w:tcW w:w="1134" w:type="dxa"/>
          </w:tcPr>
          <w:p w14:paraId="20FE30DA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52A4DCD5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5%</w:t>
            </w:r>
          </w:p>
        </w:tc>
        <w:tc>
          <w:tcPr>
            <w:tcW w:w="1701" w:type="dxa"/>
          </w:tcPr>
          <w:p w14:paraId="19B8B5B7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BC6" w:rsidRPr="00676BC6" w14:paraId="207394D9" w14:textId="77777777" w:rsidTr="00491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BF6DB49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Cash</w:t>
            </w:r>
          </w:p>
        </w:tc>
        <w:tc>
          <w:tcPr>
            <w:tcW w:w="1285" w:type="dxa"/>
          </w:tcPr>
          <w:p w14:paraId="18473DDD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5%</w:t>
            </w:r>
          </w:p>
        </w:tc>
        <w:tc>
          <w:tcPr>
            <w:tcW w:w="1134" w:type="dxa"/>
          </w:tcPr>
          <w:p w14:paraId="001CFF8F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7384D43B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15%</w:t>
            </w:r>
          </w:p>
        </w:tc>
        <w:tc>
          <w:tcPr>
            <w:tcW w:w="1701" w:type="dxa"/>
          </w:tcPr>
          <w:p w14:paraId="49CEDFFC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221B8E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p w14:paraId="7087DE71" w14:textId="420F9D5F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>While currency hedging is utilised in investments outside of international equities</w:t>
      </w:r>
      <w:r w:rsidR="00AB486C">
        <w:rPr>
          <w:rFonts w:asciiTheme="minorHAnsi" w:eastAsia="Times New Roman" w:hAnsiTheme="minorHAnsi" w:cs="Cordia New"/>
          <w:color w:val="auto"/>
        </w:rPr>
        <w:t xml:space="preserve"> and infrastructure</w:t>
      </w:r>
      <w:r w:rsidRPr="00676BC6">
        <w:rPr>
          <w:rFonts w:asciiTheme="minorHAnsi" w:eastAsia="Times New Roman" w:hAnsiTheme="minorHAnsi" w:cs="Cordia New"/>
          <w:color w:val="auto"/>
        </w:rPr>
        <w:t xml:space="preserve">, only ABC’s allocation to </w:t>
      </w:r>
      <w:r w:rsidR="00AB486C">
        <w:rPr>
          <w:rFonts w:asciiTheme="minorHAnsi" w:eastAsia="Times New Roman" w:hAnsiTheme="minorHAnsi" w:cs="Cordia New"/>
          <w:color w:val="auto"/>
        </w:rPr>
        <w:t>these assets</w:t>
      </w:r>
      <w:r w:rsidRPr="00676BC6">
        <w:rPr>
          <w:rFonts w:asciiTheme="minorHAnsi" w:eastAsia="Times New Roman" w:hAnsiTheme="minorHAnsi" w:cs="Cordia New"/>
          <w:color w:val="auto"/>
        </w:rPr>
        <w:t xml:space="preserve"> has a currency hedging target.</w:t>
      </w:r>
      <w:r w:rsidR="00F0601C">
        <w:rPr>
          <w:rFonts w:asciiTheme="minorHAnsi" w:eastAsia="Times New Roman" w:hAnsiTheme="minorHAnsi" w:cs="Cordia New"/>
          <w:color w:val="auto"/>
        </w:rPr>
        <w:t xml:space="preserve"> The 75% currency hedging target for infrastructure applies to the international component of the infrastructure allocation and not the allocation as a whole.</w:t>
      </w:r>
    </w:p>
    <w:p w14:paraId="276D764F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>ABC Superannuation submit the following high-level and low-level strategic asset allocation:</w:t>
      </w:r>
    </w:p>
    <w:p w14:paraId="2D6085D9" w14:textId="33043106" w:rsidR="00676BC6" w:rsidRPr="00676BC6" w:rsidRDefault="00AA5A7D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noProof/>
          <w:lang w:eastAsia="en-AU"/>
        </w:rPr>
        <w:lastRenderedPageBreak/>
        <w:drawing>
          <wp:inline distT="0" distB="0" distL="0" distR="0" wp14:anchorId="42D98E11" wp14:editId="339939F2">
            <wp:extent cx="5731510" cy="1191895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A4CE" w14:textId="0BF9A78F" w:rsidR="00676BC6" w:rsidRPr="00676BC6" w:rsidRDefault="00911855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noProof/>
          <w:lang w:eastAsia="en-AU"/>
        </w:rPr>
        <w:drawing>
          <wp:inline distT="0" distB="0" distL="0" distR="0" wp14:anchorId="039DC862" wp14:editId="279AA0C3">
            <wp:extent cx="5731510" cy="1041400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5DE8" w14:textId="6B5B3395" w:rsid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>As ABC Superannuation set their strategic asset allocation at a more granular level than that which is available in the high-level strategic asset allocation table, they break their “Credit / Fixed Income” and “Alternatives” allocations into the more granular buckets in the low-level strategic asset allocation table.</w:t>
      </w:r>
      <w:r w:rsidR="00524986">
        <w:rPr>
          <w:rFonts w:asciiTheme="minorHAnsi" w:eastAsia="Times New Roman" w:hAnsiTheme="minorHAnsi" w:cs="Cordia New"/>
          <w:color w:val="auto"/>
        </w:rPr>
        <w:t xml:space="preserve"> Additionally, as the currency hedging ratio for the infrastructure allocation only applies to the internationally domiciled component of the infrastructure allocation, this is split out in the low-level table.</w:t>
      </w:r>
    </w:p>
    <w:p w14:paraId="185AB840" w14:textId="09961951" w:rsidR="00A721EA" w:rsidRPr="00676BC6" w:rsidRDefault="00A721EA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rFonts w:asciiTheme="minorHAnsi" w:eastAsia="Times New Roman" w:hAnsiTheme="minorHAnsi" w:cs="Cordia New"/>
          <w:color w:val="auto"/>
        </w:rPr>
        <w:t>All low-level benchmark allocations should map back up to the</w:t>
      </w:r>
      <w:r w:rsidR="00F27A80">
        <w:rPr>
          <w:rFonts w:asciiTheme="minorHAnsi" w:eastAsia="Times New Roman" w:hAnsiTheme="minorHAnsi" w:cs="Cordia New"/>
          <w:color w:val="auto"/>
        </w:rPr>
        <w:t xml:space="preserve">ir respective high-level strategic sector in the </w:t>
      </w:r>
      <w:proofErr w:type="gramStart"/>
      <w:r w:rsidR="00F27A80">
        <w:rPr>
          <w:rFonts w:asciiTheme="minorHAnsi" w:eastAsia="Times New Roman" w:hAnsiTheme="minorHAnsi" w:cs="Cordia New"/>
          <w:color w:val="auto"/>
        </w:rPr>
        <w:t>high level</w:t>
      </w:r>
      <w:proofErr w:type="gramEnd"/>
      <w:r w:rsidR="00F27A80">
        <w:rPr>
          <w:rFonts w:asciiTheme="minorHAnsi" w:eastAsia="Times New Roman" w:hAnsiTheme="minorHAnsi" w:cs="Cordia New"/>
          <w:color w:val="auto"/>
        </w:rPr>
        <w:t xml:space="preserve"> SAA</w:t>
      </w:r>
      <w:r>
        <w:rPr>
          <w:rFonts w:asciiTheme="minorHAnsi" w:eastAsia="Times New Roman" w:hAnsiTheme="minorHAnsi" w:cs="Cordia New"/>
          <w:color w:val="auto"/>
        </w:rPr>
        <w:t xml:space="preserve"> and equate to the same overall benchmark allocation. For instance, in the example above the “Credit” allocation of 5% and the “Government Bonds” allocation of 10% map back to the “Credit/Fixed Income”</w:t>
      </w:r>
      <w:r w:rsidR="00F27A80">
        <w:rPr>
          <w:rFonts w:asciiTheme="minorHAnsi" w:eastAsia="Times New Roman" w:hAnsiTheme="minorHAnsi" w:cs="Cordia New"/>
          <w:color w:val="auto"/>
        </w:rPr>
        <w:t xml:space="preserve"> high-</w:t>
      </w:r>
      <w:r>
        <w:rPr>
          <w:rFonts w:asciiTheme="minorHAnsi" w:eastAsia="Times New Roman" w:hAnsiTheme="minorHAnsi" w:cs="Cordia New"/>
          <w:color w:val="auto"/>
        </w:rPr>
        <w:t>level allocation of 15%. The same is the case for the “Alternatives” allocations.</w:t>
      </w:r>
    </w:p>
    <w:p w14:paraId="1D957CDA" w14:textId="16A2D256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>As currency hedging is implemented at the asset class level</w:t>
      </w:r>
      <w:r w:rsidR="00911855">
        <w:rPr>
          <w:rFonts w:asciiTheme="minorHAnsi" w:eastAsia="Times New Roman" w:hAnsiTheme="minorHAnsi" w:cs="Cordia New"/>
          <w:color w:val="auto"/>
        </w:rPr>
        <w:t xml:space="preserve"> and not the investment option level</w:t>
      </w:r>
      <w:r w:rsidRPr="00676BC6">
        <w:rPr>
          <w:rFonts w:asciiTheme="minorHAnsi" w:eastAsia="Times New Roman" w:hAnsiTheme="minorHAnsi" w:cs="Cordia New"/>
          <w:color w:val="auto"/>
        </w:rPr>
        <w:t>, the “Currency Exposure” high-level strategic sector is not used.</w:t>
      </w:r>
    </w:p>
    <w:p w14:paraId="0AE37C6F" w14:textId="31AE2BE4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 xml:space="preserve">Note that the reporting of zero in the currency hedging ratio column indicates a target of 0% has been set. Leaving the cell </w:t>
      </w:r>
      <w:r w:rsidR="00D411ED">
        <w:rPr>
          <w:rFonts w:asciiTheme="minorHAnsi" w:eastAsia="Times New Roman" w:hAnsiTheme="minorHAnsi" w:cs="Cordia New"/>
          <w:color w:val="auto"/>
        </w:rPr>
        <w:t xml:space="preserve">blank </w:t>
      </w:r>
      <w:r w:rsidRPr="00676BC6">
        <w:rPr>
          <w:rFonts w:asciiTheme="minorHAnsi" w:eastAsia="Times New Roman" w:hAnsiTheme="minorHAnsi" w:cs="Cordia New"/>
          <w:color w:val="auto"/>
        </w:rPr>
        <w:t>indicates either no target has been set or it’s not applicable to the asset class.</w:t>
      </w:r>
    </w:p>
    <w:p w14:paraId="54295B81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p w14:paraId="51A85202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b/>
          <w:bCs/>
          <w:color w:val="auto"/>
        </w:rPr>
      </w:pPr>
      <w:r w:rsidRPr="00676BC6">
        <w:rPr>
          <w:rFonts w:asciiTheme="minorHAnsi" w:eastAsia="Times New Roman" w:hAnsiTheme="minorHAnsi" w:cs="Cordia New"/>
          <w:b/>
          <w:bCs/>
          <w:color w:val="auto"/>
        </w:rPr>
        <w:t>XYZ Superannuation</w:t>
      </w:r>
    </w:p>
    <w:p w14:paraId="415EF104" w14:textId="5A3319CA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 xml:space="preserve">XYZ Superannuation’s </w:t>
      </w:r>
      <w:r w:rsidR="00D411ED">
        <w:rPr>
          <w:rFonts w:asciiTheme="minorHAnsi" w:eastAsia="Times New Roman" w:hAnsiTheme="minorHAnsi" w:cs="Cordia New"/>
          <w:color w:val="auto"/>
        </w:rPr>
        <w:t>Investment Policy Statement (IPS) indicates the following strategic asset allocation</w:t>
      </w:r>
      <w:r w:rsidR="00D411ED" w:rsidRPr="00676BC6">
        <w:rPr>
          <w:rFonts w:asciiTheme="minorHAnsi" w:eastAsia="Times New Roman" w:hAnsiTheme="minorHAnsi" w:cs="Cordia New"/>
          <w:color w:val="auto"/>
        </w:rPr>
        <w:t xml:space="preserve"> </w:t>
      </w:r>
      <w:r w:rsidRPr="00676BC6">
        <w:rPr>
          <w:rFonts w:asciiTheme="minorHAnsi" w:eastAsia="Times New Roman" w:hAnsiTheme="minorHAnsi" w:cs="Cordia New"/>
          <w:color w:val="auto"/>
        </w:rPr>
        <w:t xml:space="preserve">for their Balanced investment </w:t>
      </w:r>
      <w:r w:rsidR="00D411ED">
        <w:rPr>
          <w:rFonts w:asciiTheme="minorHAnsi" w:eastAsia="Times New Roman" w:hAnsiTheme="minorHAnsi" w:cs="Cordia New"/>
          <w:color w:val="auto"/>
        </w:rPr>
        <w:t>option</w:t>
      </w:r>
      <w:r w:rsidRPr="00676BC6">
        <w:rPr>
          <w:rFonts w:asciiTheme="minorHAnsi" w:eastAsia="Times New Roman" w:hAnsiTheme="minorHAnsi" w:cs="Cordia New"/>
          <w:color w:val="auto"/>
        </w:rPr>
        <w:t>, which sets a currency exposure target at the investment option level:</w:t>
      </w:r>
    </w:p>
    <w:p w14:paraId="7250FB92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1285"/>
        <w:gridCol w:w="1134"/>
        <w:gridCol w:w="1134"/>
      </w:tblGrid>
      <w:tr w:rsidR="00676BC6" w:rsidRPr="00676BC6" w14:paraId="1EB1E747" w14:textId="77777777" w:rsidTr="0049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7CFF711" w14:textId="77777777" w:rsidR="00676BC6" w:rsidRPr="00676BC6" w:rsidRDefault="00676BC6" w:rsidP="00676BC6">
            <w:pPr>
              <w:spacing w:after="160" w:line="259" w:lineRule="auto"/>
              <w:jc w:val="center"/>
              <w:rPr>
                <w:color w:val="auto"/>
              </w:rPr>
            </w:pPr>
            <w:r w:rsidRPr="00676BC6">
              <w:rPr>
                <w:color w:val="auto"/>
              </w:rPr>
              <w:t>Asset Class</w:t>
            </w:r>
          </w:p>
        </w:tc>
        <w:tc>
          <w:tcPr>
            <w:tcW w:w="1285" w:type="dxa"/>
          </w:tcPr>
          <w:p w14:paraId="704617B9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Allocation</w:t>
            </w:r>
          </w:p>
        </w:tc>
        <w:tc>
          <w:tcPr>
            <w:tcW w:w="1134" w:type="dxa"/>
          </w:tcPr>
          <w:p w14:paraId="4C08F829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Lower</w:t>
            </w:r>
          </w:p>
        </w:tc>
        <w:tc>
          <w:tcPr>
            <w:tcW w:w="1134" w:type="dxa"/>
          </w:tcPr>
          <w:p w14:paraId="0F2522BA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Upper</w:t>
            </w:r>
          </w:p>
        </w:tc>
      </w:tr>
      <w:tr w:rsidR="00676BC6" w:rsidRPr="00676BC6" w14:paraId="558F1951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A0260FE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Australian equities</w:t>
            </w:r>
          </w:p>
        </w:tc>
        <w:tc>
          <w:tcPr>
            <w:tcW w:w="1285" w:type="dxa"/>
          </w:tcPr>
          <w:p w14:paraId="384FADB7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20%</w:t>
            </w:r>
          </w:p>
        </w:tc>
        <w:tc>
          <w:tcPr>
            <w:tcW w:w="1134" w:type="dxa"/>
          </w:tcPr>
          <w:p w14:paraId="63C81D38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0F15E216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40%</w:t>
            </w:r>
          </w:p>
        </w:tc>
      </w:tr>
      <w:tr w:rsidR="00676BC6" w:rsidRPr="00676BC6" w14:paraId="4E948D2D" w14:textId="77777777" w:rsidTr="00491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DCB2286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International equities</w:t>
            </w:r>
          </w:p>
        </w:tc>
        <w:tc>
          <w:tcPr>
            <w:tcW w:w="1285" w:type="dxa"/>
          </w:tcPr>
          <w:p w14:paraId="24F85050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30%</w:t>
            </w:r>
          </w:p>
        </w:tc>
        <w:tc>
          <w:tcPr>
            <w:tcW w:w="1134" w:type="dxa"/>
          </w:tcPr>
          <w:p w14:paraId="652DDA9D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2B2892CD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40%</w:t>
            </w:r>
          </w:p>
        </w:tc>
      </w:tr>
      <w:tr w:rsidR="00676BC6" w:rsidRPr="00676BC6" w14:paraId="2D705FC9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3F8D4DC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Fixed interest</w:t>
            </w:r>
          </w:p>
        </w:tc>
        <w:tc>
          <w:tcPr>
            <w:tcW w:w="1285" w:type="dxa"/>
          </w:tcPr>
          <w:p w14:paraId="6C0AC9C5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15%</w:t>
            </w:r>
          </w:p>
        </w:tc>
        <w:tc>
          <w:tcPr>
            <w:tcW w:w="1134" w:type="dxa"/>
          </w:tcPr>
          <w:p w14:paraId="74EB8033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09A22BA0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30%</w:t>
            </w:r>
          </w:p>
        </w:tc>
      </w:tr>
      <w:tr w:rsidR="00676BC6" w:rsidRPr="00676BC6" w14:paraId="7782DF9F" w14:textId="77777777" w:rsidTr="00491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B176082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Property</w:t>
            </w:r>
          </w:p>
        </w:tc>
        <w:tc>
          <w:tcPr>
            <w:tcW w:w="1285" w:type="dxa"/>
          </w:tcPr>
          <w:p w14:paraId="5ADE47CC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1C753E85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58EC2CE3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20%</w:t>
            </w:r>
          </w:p>
        </w:tc>
      </w:tr>
      <w:tr w:rsidR="00676BC6" w:rsidRPr="00676BC6" w14:paraId="4EC49FAA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2C9CAD3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lastRenderedPageBreak/>
              <w:t>Infrastructure</w:t>
            </w:r>
          </w:p>
        </w:tc>
        <w:tc>
          <w:tcPr>
            <w:tcW w:w="1285" w:type="dxa"/>
          </w:tcPr>
          <w:p w14:paraId="4276E86E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66BF8D77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5DA2EF56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40%</w:t>
            </w:r>
          </w:p>
        </w:tc>
      </w:tr>
      <w:tr w:rsidR="00676BC6" w:rsidRPr="00676BC6" w14:paraId="398120FD" w14:textId="77777777" w:rsidTr="004910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82E2C66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Alternatives</w:t>
            </w:r>
          </w:p>
        </w:tc>
        <w:tc>
          <w:tcPr>
            <w:tcW w:w="1285" w:type="dxa"/>
          </w:tcPr>
          <w:p w14:paraId="4E6A379F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10%</w:t>
            </w:r>
          </w:p>
        </w:tc>
        <w:tc>
          <w:tcPr>
            <w:tcW w:w="1134" w:type="dxa"/>
          </w:tcPr>
          <w:p w14:paraId="5BE49E2F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6C955F97" w14:textId="77777777" w:rsidR="00676BC6" w:rsidRPr="00676BC6" w:rsidRDefault="00676BC6" w:rsidP="00676BC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BC6">
              <w:t>20%</w:t>
            </w:r>
          </w:p>
        </w:tc>
      </w:tr>
      <w:tr w:rsidR="00676BC6" w:rsidRPr="00676BC6" w14:paraId="36785277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9DB4A93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Cash</w:t>
            </w:r>
          </w:p>
        </w:tc>
        <w:tc>
          <w:tcPr>
            <w:tcW w:w="1285" w:type="dxa"/>
          </w:tcPr>
          <w:p w14:paraId="5CC8B9E0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5%</w:t>
            </w:r>
          </w:p>
        </w:tc>
        <w:tc>
          <w:tcPr>
            <w:tcW w:w="1134" w:type="dxa"/>
          </w:tcPr>
          <w:p w14:paraId="1B8FA35D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0%</w:t>
            </w:r>
          </w:p>
        </w:tc>
        <w:tc>
          <w:tcPr>
            <w:tcW w:w="1134" w:type="dxa"/>
          </w:tcPr>
          <w:p w14:paraId="707AEA38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10%</w:t>
            </w:r>
          </w:p>
        </w:tc>
      </w:tr>
    </w:tbl>
    <w:p w14:paraId="41007D44" w14:textId="15B91183" w:rsidR="00676BC6" w:rsidRDefault="00676BC6" w:rsidP="00CE3772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p w14:paraId="7AA7E2E9" w14:textId="77777777" w:rsidR="00CE3772" w:rsidRPr="00676BC6" w:rsidRDefault="00CE3772" w:rsidP="00CE3772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1265"/>
        <w:gridCol w:w="1134"/>
        <w:gridCol w:w="1134"/>
      </w:tblGrid>
      <w:tr w:rsidR="00676BC6" w:rsidRPr="00676BC6" w14:paraId="164FE56F" w14:textId="77777777" w:rsidTr="0049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4AD271F8" w14:textId="77777777" w:rsidR="00676BC6" w:rsidRPr="00676BC6" w:rsidRDefault="00676BC6" w:rsidP="00676BC6">
            <w:pPr>
              <w:spacing w:after="160" w:line="259" w:lineRule="auto"/>
              <w:jc w:val="center"/>
              <w:rPr>
                <w:color w:val="auto"/>
              </w:rPr>
            </w:pPr>
          </w:p>
        </w:tc>
        <w:tc>
          <w:tcPr>
            <w:tcW w:w="1265" w:type="dxa"/>
          </w:tcPr>
          <w:p w14:paraId="066B0FE3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Target</w:t>
            </w:r>
          </w:p>
        </w:tc>
        <w:tc>
          <w:tcPr>
            <w:tcW w:w="1134" w:type="dxa"/>
          </w:tcPr>
          <w:p w14:paraId="544D344E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Lower</w:t>
            </w:r>
          </w:p>
        </w:tc>
        <w:tc>
          <w:tcPr>
            <w:tcW w:w="1134" w:type="dxa"/>
          </w:tcPr>
          <w:p w14:paraId="30DC810F" w14:textId="77777777" w:rsidR="00676BC6" w:rsidRPr="00676BC6" w:rsidRDefault="00676BC6" w:rsidP="00676B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6BC6">
              <w:rPr>
                <w:color w:val="auto"/>
              </w:rPr>
              <w:t>Upper</w:t>
            </w:r>
          </w:p>
        </w:tc>
      </w:tr>
      <w:tr w:rsidR="00676BC6" w:rsidRPr="00676BC6" w14:paraId="4CAC8190" w14:textId="77777777" w:rsidTr="004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122183A8" w14:textId="77777777" w:rsidR="00676BC6" w:rsidRPr="00676BC6" w:rsidRDefault="00676BC6" w:rsidP="00676BC6">
            <w:pPr>
              <w:spacing w:after="160" w:line="259" w:lineRule="auto"/>
              <w:jc w:val="center"/>
            </w:pPr>
            <w:r w:rsidRPr="00676BC6">
              <w:t>Currency Exposure</w:t>
            </w:r>
          </w:p>
        </w:tc>
        <w:tc>
          <w:tcPr>
            <w:tcW w:w="1265" w:type="dxa"/>
          </w:tcPr>
          <w:p w14:paraId="2AC47D94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20%</w:t>
            </w:r>
          </w:p>
        </w:tc>
        <w:tc>
          <w:tcPr>
            <w:tcW w:w="1134" w:type="dxa"/>
          </w:tcPr>
          <w:p w14:paraId="4F125D6C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15%</w:t>
            </w:r>
          </w:p>
        </w:tc>
        <w:tc>
          <w:tcPr>
            <w:tcW w:w="1134" w:type="dxa"/>
          </w:tcPr>
          <w:p w14:paraId="0E96DD17" w14:textId="77777777" w:rsidR="00676BC6" w:rsidRPr="00676BC6" w:rsidRDefault="00676BC6" w:rsidP="00676BC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BC6">
              <w:t>25%</w:t>
            </w:r>
          </w:p>
        </w:tc>
      </w:tr>
    </w:tbl>
    <w:p w14:paraId="10F352B9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p w14:paraId="61B93BC7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>XYZ Superannuation submit the following high-level and low-level strategic asset allocation:</w:t>
      </w:r>
    </w:p>
    <w:p w14:paraId="1A372074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noProof/>
          <w:color w:val="auto"/>
          <w:lang w:eastAsia="en-AU"/>
        </w:rPr>
        <w:drawing>
          <wp:inline distT="0" distB="0" distL="0" distR="0" wp14:anchorId="3324F93E" wp14:editId="2C7A9E89">
            <wp:extent cx="565785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4CFD7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noProof/>
          <w:color w:val="auto"/>
          <w:lang w:eastAsia="en-AU"/>
        </w:rPr>
        <w:drawing>
          <wp:inline distT="0" distB="0" distL="0" distR="0" wp14:anchorId="7720AD88" wp14:editId="3BAE2A5A">
            <wp:extent cx="56769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52CF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>As XYZ Superannuation set their currency exposure at the investment option level, they report the currency exposure target using the “Currency Exposure” high level strategic sector.</w:t>
      </w:r>
    </w:p>
    <w:p w14:paraId="45A391A9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676BC6">
        <w:rPr>
          <w:rFonts w:asciiTheme="minorHAnsi" w:eastAsia="Times New Roman" w:hAnsiTheme="minorHAnsi" w:cs="Cordia New"/>
          <w:color w:val="auto"/>
        </w:rPr>
        <w:t>Additionally, as XYZ Superannuation do not require further granularity in describing their strategic asset allocation than what’s available in the high-level, they submit “No” for column 2.4 for the investment option.</w:t>
      </w:r>
    </w:p>
    <w:p w14:paraId="5C102624" w14:textId="72941E39" w:rsidR="006B659A" w:rsidRPr="006B659A" w:rsidRDefault="006B659A" w:rsidP="006B659A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 w:rsidRPr="00FE67BC">
        <w:rPr>
          <w:b/>
        </w:rPr>
        <w:t>DEF Superannuation</w:t>
      </w:r>
    </w:p>
    <w:p w14:paraId="7C1B3170" w14:textId="400C4950" w:rsidR="006B659A" w:rsidRDefault="00512305" w:rsidP="006B659A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rFonts w:asciiTheme="minorHAnsi" w:eastAsia="Times New Roman" w:hAnsiTheme="minorHAnsi" w:cs="Cordia New"/>
          <w:color w:val="auto"/>
        </w:rPr>
        <w:t>DEF Superannuation offers a range of investment options, some of which are managed funds and model portfolios offered by investment managers external to the fund. Two such options are the Investment Manager A Global Fund and the Investment Mana</w:t>
      </w:r>
      <w:r w:rsidR="00BC22E4">
        <w:rPr>
          <w:rFonts w:asciiTheme="minorHAnsi" w:eastAsia="Times New Roman" w:hAnsiTheme="minorHAnsi" w:cs="Cordia New"/>
          <w:color w:val="auto"/>
        </w:rPr>
        <w:t>ger B Equities</w:t>
      </w:r>
      <w:r>
        <w:rPr>
          <w:rFonts w:asciiTheme="minorHAnsi" w:eastAsia="Times New Roman" w:hAnsiTheme="minorHAnsi" w:cs="Cordia New"/>
          <w:color w:val="auto"/>
        </w:rPr>
        <w:t xml:space="preserve"> Model Portfolio.</w:t>
      </w:r>
    </w:p>
    <w:p w14:paraId="095438AB" w14:textId="6F496F11" w:rsidR="00512305" w:rsidRDefault="00512305" w:rsidP="006B659A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rFonts w:asciiTheme="minorHAnsi" w:eastAsia="Times New Roman" w:hAnsiTheme="minorHAnsi" w:cs="Cordia New"/>
          <w:color w:val="auto"/>
        </w:rPr>
        <w:t xml:space="preserve">In disclosing the strategic asset allocation of the Investment </w:t>
      </w:r>
      <w:proofErr w:type="gramStart"/>
      <w:r>
        <w:rPr>
          <w:rFonts w:asciiTheme="minorHAnsi" w:eastAsia="Times New Roman" w:hAnsiTheme="minorHAnsi" w:cs="Cordia New"/>
          <w:color w:val="auto"/>
        </w:rPr>
        <w:t>Manager</w:t>
      </w:r>
      <w:proofErr w:type="gramEnd"/>
      <w:r>
        <w:rPr>
          <w:rFonts w:asciiTheme="minorHAnsi" w:eastAsia="Times New Roman" w:hAnsiTheme="minorHAnsi" w:cs="Cordia New"/>
          <w:color w:val="auto"/>
        </w:rPr>
        <w:t xml:space="preserve"> A Global Fund, DEF Superannuation reports the following:</w:t>
      </w:r>
    </w:p>
    <w:p w14:paraId="3A094AEF" w14:textId="0E4547BD" w:rsidR="00963B90" w:rsidRDefault="007012CB" w:rsidP="006B659A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noProof/>
          <w:lang w:eastAsia="en-AU"/>
        </w:rPr>
        <w:drawing>
          <wp:inline distT="0" distB="0" distL="0" distR="0" wp14:anchorId="57F3BC35" wp14:editId="157E30AD">
            <wp:extent cx="5731510" cy="59817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162B" w14:textId="1445081E" w:rsidR="007012CB" w:rsidRDefault="007012CB" w:rsidP="006B659A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noProof/>
          <w:lang w:eastAsia="en-AU"/>
        </w:rPr>
        <w:drawing>
          <wp:inline distT="0" distB="0" distL="0" distR="0" wp14:anchorId="37552910" wp14:editId="19905B66">
            <wp:extent cx="5731510" cy="47625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C8FD" w14:textId="77777777" w:rsidR="00224B5F" w:rsidRDefault="00224B5F" w:rsidP="00512305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p w14:paraId="796B52BB" w14:textId="2E92CDEB" w:rsidR="00512305" w:rsidRDefault="00512305" w:rsidP="00512305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rFonts w:asciiTheme="minorHAnsi" w:eastAsia="Times New Roman" w:hAnsiTheme="minorHAnsi" w:cs="Cordia New"/>
          <w:color w:val="auto"/>
        </w:rPr>
        <w:lastRenderedPageBreak/>
        <w:t xml:space="preserve">In disclosing the strategic asset allocation of the Investment Manager B </w:t>
      </w:r>
      <w:r w:rsidR="00BC22E4">
        <w:rPr>
          <w:rFonts w:asciiTheme="minorHAnsi" w:eastAsia="Times New Roman" w:hAnsiTheme="minorHAnsi" w:cs="Cordia New"/>
          <w:color w:val="auto"/>
        </w:rPr>
        <w:t>Equities</w:t>
      </w:r>
      <w:r>
        <w:rPr>
          <w:rFonts w:asciiTheme="minorHAnsi" w:eastAsia="Times New Roman" w:hAnsiTheme="minorHAnsi" w:cs="Cordia New"/>
          <w:color w:val="auto"/>
        </w:rPr>
        <w:t xml:space="preserve"> Model Portfolio, DEF Superannuation reports the following:</w:t>
      </w:r>
    </w:p>
    <w:p w14:paraId="25D6ECFD" w14:textId="145D8E4A" w:rsidR="00512305" w:rsidRDefault="00556573" w:rsidP="006B659A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noProof/>
          <w:lang w:eastAsia="en-AU"/>
        </w:rPr>
        <w:drawing>
          <wp:inline distT="0" distB="0" distL="0" distR="0" wp14:anchorId="7026723F" wp14:editId="7166EB4B">
            <wp:extent cx="5731510" cy="76771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8D40" w14:textId="1B8D3458" w:rsidR="00556573" w:rsidRDefault="00556573" w:rsidP="006B659A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noProof/>
          <w:lang w:eastAsia="en-AU"/>
        </w:rPr>
        <w:drawing>
          <wp:inline distT="0" distB="0" distL="0" distR="0" wp14:anchorId="131DCF17" wp14:editId="323BB047">
            <wp:extent cx="5731510" cy="47625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54074" w14:textId="1D4BE757" w:rsidR="006B659A" w:rsidRDefault="005B5B43" w:rsidP="006B659A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rFonts w:asciiTheme="minorHAnsi" w:eastAsia="Times New Roman" w:hAnsiTheme="minorHAnsi" w:cs="Cordia New"/>
          <w:color w:val="auto"/>
        </w:rPr>
        <w:t>While members invested in model portfolios are at liberty to alter their investment strategy from that of the model, the strategic allocations of said model are still required.</w:t>
      </w:r>
    </w:p>
    <w:p w14:paraId="4BD8694D" w14:textId="77777777" w:rsidR="00512305" w:rsidRPr="00676BC6" w:rsidRDefault="00512305" w:rsidP="006B659A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p w14:paraId="41C599D7" w14:textId="73D68DE7" w:rsidR="00676BC6" w:rsidRPr="00676BC6" w:rsidRDefault="00294033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b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="Cordia New"/>
          <w:b/>
          <w:bCs/>
          <w:color w:val="auto"/>
          <w:sz w:val="24"/>
          <w:szCs w:val="24"/>
        </w:rPr>
        <w:t xml:space="preserve">SRF 550.0: Table 2, </w:t>
      </w:r>
      <w:r w:rsidR="00676BC6" w:rsidRPr="00676BC6">
        <w:rPr>
          <w:rFonts w:asciiTheme="minorHAnsi" w:eastAsia="Times New Roman" w:hAnsiTheme="minorHAnsi" w:cs="Cordia New"/>
          <w:b/>
          <w:bCs/>
          <w:color w:val="auto"/>
          <w:sz w:val="24"/>
          <w:szCs w:val="24"/>
        </w:rPr>
        <w:t>Actual Asset Allocation</w:t>
      </w:r>
    </w:p>
    <w:p w14:paraId="54AB9988" w14:textId="77777777" w:rsidR="00676BC6" w:rsidRPr="00A36A08" w:rsidRDefault="00A36A08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b/>
          <w:color w:val="auto"/>
        </w:rPr>
      </w:pPr>
      <w:r w:rsidRPr="00A36A08">
        <w:rPr>
          <w:rFonts w:asciiTheme="minorHAnsi" w:eastAsia="Times New Roman" w:hAnsiTheme="minorHAnsi" w:cs="Cordia New"/>
          <w:b/>
          <w:color w:val="auto"/>
        </w:rPr>
        <w:t>XYZ</w:t>
      </w:r>
      <w:r w:rsidR="00676BC6" w:rsidRPr="00676BC6">
        <w:rPr>
          <w:rFonts w:asciiTheme="minorHAnsi" w:eastAsia="Times New Roman" w:hAnsiTheme="minorHAnsi" w:cs="Cordia New"/>
          <w:b/>
          <w:color w:val="auto"/>
        </w:rPr>
        <w:t xml:space="preserve"> Superannuation</w:t>
      </w:r>
    </w:p>
    <w:p w14:paraId="562DDABC" w14:textId="77777777" w:rsidR="00591162" w:rsidRDefault="00A36A08" w:rsidP="00A36A08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rFonts w:asciiTheme="minorHAnsi" w:eastAsia="Times New Roman" w:hAnsiTheme="minorHAnsi" w:cs="Cordia New"/>
          <w:color w:val="auto"/>
        </w:rPr>
        <w:t xml:space="preserve">XYZ Superannuation </w:t>
      </w:r>
      <w:r w:rsidR="004D1DB7">
        <w:rPr>
          <w:rFonts w:asciiTheme="minorHAnsi" w:eastAsia="Times New Roman" w:hAnsiTheme="minorHAnsi" w:cs="Cordia New"/>
          <w:color w:val="auto"/>
        </w:rPr>
        <w:t>invest</w:t>
      </w:r>
      <w:r w:rsidR="00591162">
        <w:rPr>
          <w:rFonts w:asciiTheme="minorHAnsi" w:eastAsia="Times New Roman" w:hAnsiTheme="minorHAnsi" w:cs="Cordia New"/>
          <w:color w:val="auto"/>
        </w:rPr>
        <w:t>s</w:t>
      </w:r>
      <w:r w:rsidR="004D1DB7">
        <w:rPr>
          <w:rFonts w:asciiTheme="minorHAnsi" w:eastAsia="Times New Roman" w:hAnsiTheme="minorHAnsi" w:cs="Cordia New"/>
          <w:color w:val="auto"/>
        </w:rPr>
        <w:t xml:space="preserve"> assets of the XYZ Balanced option in a broad range of strategic sectors </w:t>
      </w:r>
      <w:r w:rsidR="00591162">
        <w:rPr>
          <w:rFonts w:asciiTheme="minorHAnsi" w:eastAsia="Times New Roman" w:hAnsiTheme="minorHAnsi" w:cs="Cordia New"/>
          <w:color w:val="auto"/>
        </w:rPr>
        <w:t xml:space="preserve">embodying a number of asset class characteristic combinations. Within the </w:t>
      </w:r>
      <w:r w:rsidR="00B33DF7">
        <w:rPr>
          <w:rFonts w:asciiTheme="minorHAnsi" w:eastAsia="Times New Roman" w:hAnsiTheme="minorHAnsi" w:cs="Cordia New"/>
          <w:color w:val="auto"/>
        </w:rPr>
        <w:t xml:space="preserve">listed </w:t>
      </w:r>
      <w:r w:rsidR="00591162">
        <w:rPr>
          <w:rFonts w:asciiTheme="minorHAnsi" w:eastAsia="Times New Roman" w:hAnsiTheme="minorHAnsi" w:cs="Cordia New"/>
          <w:color w:val="auto"/>
        </w:rPr>
        <w:t>international equities asset class</w:t>
      </w:r>
      <w:r w:rsidR="00DA733E">
        <w:rPr>
          <w:rFonts w:asciiTheme="minorHAnsi" w:eastAsia="Times New Roman" w:hAnsiTheme="minorHAnsi" w:cs="Cordia New"/>
          <w:color w:val="auto"/>
        </w:rPr>
        <w:t>,</w:t>
      </w:r>
      <w:r w:rsidR="00591162">
        <w:rPr>
          <w:rFonts w:asciiTheme="minorHAnsi" w:eastAsia="Times New Roman" w:hAnsiTheme="minorHAnsi" w:cs="Cordia New"/>
          <w:color w:val="auto"/>
        </w:rPr>
        <w:t xml:space="preserve"> members are exposed to equities ranging from </w:t>
      </w:r>
      <w:proofErr w:type="spellStart"/>
      <w:r w:rsidR="00DA733E">
        <w:rPr>
          <w:rFonts w:asciiTheme="minorHAnsi" w:eastAsia="Times New Roman" w:hAnsiTheme="minorHAnsi" w:cs="Cordia New"/>
          <w:color w:val="auto"/>
        </w:rPr>
        <w:t>micro</w:t>
      </w:r>
      <w:r w:rsidR="00591162">
        <w:rPr>
          <w:rFonts w:asciiTheme="minorHAnsi" w:eastAsia="Times New Roman" w:hAnsiTheme="minorHAnsi" w:cs="Cordia New"/>
          <w:color w:val="auto"/>
        </w:rPr>
        <w:t xml:space="preserve"> cap</w:t>
      </w:r>
      <w:proofErr w:type="spellEnd"/>
      <w:r w:rsidR="00591162">
        <w:rPr>
          <w:rFonts w:asciiTheme="minorHAnsi" w:eastAsia="Times New Roman" w:hAnsiTheme="minorHAnsi" w:cs="Cordia New"/>
          <w:color w:val="auto"/>
        </w:rPr>
        <w:t xml:space="preserve"> to </w:t>
      </w:r>
      <w:r w:rsidR="00DA733E">
        <w:rPr>
          <w:rFonts w:asciiTheme="minorHAnsi" w:eastAsia="Times New Roman" w:hAnsiTheme="minorHAnsi" w:cs="Cordia New"/>
          <w:color w:val="auto"/>
        </w:rPr>
        <w:t>large</w:t>
      </w:r>
      <w:r w:rsidR="00591162">
        <w:rPr>
          <w:rFonts w:asciiTheme="minorHAnsi" w:eastAsia="Times New Roman" w:hAnsiTheme="minorHAnsi" w:cs="Cordia New"/>
          <w:color w:val="auto"/>
        </w:rPr>
        <w:t xml:space="preserve"> cap, stemming from both developed and emerging markets and invested into using both active and passive management strategies. </w:t>
      </w:r>
    </w:p>
    <w:p w14:paraId="382D4074" w14:textId="77777777" w:rsidR="00591162" w:rsidRDefault="00591162" w:rsidP="00A36A08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rFonts w:asciiTheme="minorHAnsi" w:eastAsia="Times New Roman" w:hAnsiTheme="minorHAnsi" w:cs="Cordia New"/>
          <w:color w:val="auto"/>
        </w:rPr>
        <w:t>XYZ Superannuation report</w:t>
      </w:r>
      <w:r w:rsidR="00B33DF7">
        <w:rPr>
          <w:rFonts w:asciiTheme="minorHAnsi" w:eastAsia="Times New Roman" w:hAnsiTheme="minorHAnsi" w:cs="Cordia New"/>
          <w:color w:val="auto"/>
        </w:rPr>
        <w:t xml:space="preserve"> listed</w:t>
      </w:r>
      <w:r>
        <w:rPr>
          <w:rFonts w:asciiTheme="minorHAnsi" w:eastAsia="Times New Roman" w:hAnsiTheme="minorHAnsi" w:cs="Cordia New"/>
          <w:color w:val="auto"/>
        </w:rPr>
        <w:t xml:space="preserve"> international equity </w:t>
      </w:r>
      <w:r w:rsidR="00DA733E">
        <w:rPr>
          <w:rFonts w:asciiTheme="minorHAnsi" w:eastAsia="Times New Roman" w:hAnsiTheme="minorHAnsi" w:cs="Cordia New"/>
          <w:color w:val="auto"/>
        </w:rPr>
        <w:t xml:space="preserve">and currency exposure </w:t>
      </w:r>
      <w:r>
        <w:rPr>
          <w:rFonts w:asciiTheme="minorHAnsi" w:eastAsia="Times New Roman" w:hAnsiTheme="minorHAnsi" w:cs="Cordia New"/>
          <w:color w:val="auto"/>
        </w:rPr>
        <w:t>investments through the following submission:</w:t>
      </w:r>
    </w:p>
    <w:p w14:paraId="3B0E7A08" w14:textId="77777777" w:rsidR="00A36A08" w:rsidRPr="00676BC6" w:rsidRDefault="00A36A08" w:rsidP="00A36A08">
      <w:pPr>
        <w:numPr>
          <w:ilvl w:val="0"/>
          <w:numId w:val="0"/>
        </w:num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  <w:r>
        <w:rPr>
          <w:noProof/>
          <w:lang w:eastAsia="en-AU"/>
        </w:rPr>
        <w:drawing>
          <wp:inline distT="0" distB="0" distL="0" distR="0" wp14:anchorId="239B808F" wp14:editId="1F9FBAD4">
            <wp:extent cx="5731510" cy="24441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6138" w14:textId="77777777" w:rsidR="00676BC6" w:rsidRPr="00676BC6" w:rsidRDefault="00676BC6" w:rsidP="00676BC6">
      <w:pPr>
        <w:spacing w:after="160" w:line="259" w:lineRule="auto"/>
        <w:jc w:val="left"/>
        <w:rPr>
          <w:rFonts w:asciiTheme="minorHAnsi" w:eastAsia="Times New Roman" w:hAnsiTheme="minorHAnsi" w:cs="Cordia New"/>
          <w:color w:val="auto"/>
        </w:rPr>
      </w:pPr>
    </w:p>
    <w:p w14:paraId="19DA72CB" w14:textId="29E42928" w:rsidR="00A533A9" w:rsidRDefault="00834882" w:rsidP="00A34ADD">
      <w:r>
        <w:rPr>
          <w:noProof/>
          <w:lang w:eastAsia="en-AU"/>
        </w:rPr>
        <w:lastRenderedPageBreak/>
        <w:drawing>
          <wp:inline distT="0" distB="0" distL="0" distR="0" wp14:anchorId="310BB714" wp14:editId="7AB47742">
            <wp:extent cx="5731510" cy="244411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29A3A" w14:textId="3CA73FE4" w:rsidR="00DA733E" w:rsidRDefault="00DA733E" w:rsidP="00DA733E">
      <w:pPr>
        <w:numPr>
          <w:ilvl w:val="0"/>
          <w:numId w:val="0"/>
        </w:numPr>
      </w:pPr>
      <w:r>
        <w:t>Note that for the sake of brevity, this is only a partial submission and investments pertaining to all the strategic sectors reported in the SAA would be expected to have</w:t>
      </w:r>
      <w:r w:rsidR="00FB7855">
        <w:t xml:space="preserve"> their exposures reported</w:t>
      </w:r>
      <w:r>
        <w:t>.</w:t>
      </w:r>
    </w:p>
    <w:p w14:paraId="0393A407" w14:textId="77777777" w:rsidR="00DA733E" w:rsidRDefault="00DA733E" w:rsidP="00DA733E">
      <w:pPr>
        <w:numPr>
          <w:ilvl w:val="0"/>
          <w:numId w:val="0"/>
        </w:numPr>
      </w:pPr>
      <w:r>
        <w:t>As XYZ Superannuation only has exposure to large cap equities from domestic markets</w:t>
      </w:r>
      <w:r w:rsidR="00B33DF7">
        <w:t xml:space="preserve"> within passive strategies, no further information is required for the passive asset class characteristic.</w:t>
      </w:r>
    </w:p>
    <w:p w14:paraId="50D20311" w14:textId="313C37FB" w:rsidR="002A7160" w:rsidRDefault="009D5B6E" w:rsidP="00DA733E">
      <w:pPr>
        <w:numPr>
          <w:ilvl w:val="0"/>
          <w:numId w:val="0"/>
        </w:numPr>
      </w:pPr>
      <w:r>
        <w:t xml:space="preserve">Note that as no gearing is used and, as the investment does not belong to the credit/fixed income high level strategic sector, modified duration is not applicable, </w:t>
      </w:r>
      <w:r w:rsidR="002A7160">
        <w:t>these variables are filled with zeroes and blanks respectively.</w:t>
      </w:r>
    </w:p>
    <w:p w14:paraId="6FBFEEE2" w14:textId="4CD69506" w:rsidR="002A7160" w:rsidRDefault="002A7160" w:rsidP="00DA733E">
      <w:pPr>
        <w:numPr>
          <w:ilvl w:val="0"/>
          <w:numId w:val="0"/>
        </w:numPr>
      </w:pPr>
      <w:r>
        <w:t>As synthetic exposure, currency hedging, gearing proportion and modified duration are not applicable to the currency exposure value, these are left blank.</w:t>
      </w:r>
    </w:p>
    <w:p w14:paraId="51923858" w14:textId="7C16F43F" w:rsidR="009D5B6E" w:rsidRPr="005B5B43" w:rsidRDefault="005B5B43" w:rsidP="00DA733E">
      <w:pPr>
        <w:numPr>
          <w:ilvl w:val="0"/>
          <w:numId w:val="0"/>
        </w:numPr>
        <w:rPr>
          <w:b/>
        </w:rPr>
      </w:pPr>
      <w:r w:rsidRPr="005B5B43">
        <w:rPr>
          <w:b/>
        </w:rPr>
        <w:t>DEF Superannuation</w:t>
      </w:r>
    </w:p>
    <w:p w14:paraId="5BE2A416" w14:textId="65DB25F4" w:rsidR="009D5B6E" w:rsidRDefault="00224B5F" w:rsidP="00DA733E">
      <w:pPr>
        <w:numPr>
          <w:ilvl w:val="0"/>
          <w:numId w:val="0"/>
        </w:numPr>
      </w:pPr>
      <w:r>
        <w:t>Borrowing from the earlier example for DEF Superannuation, the fund offers a multitude of options, one of which is Investment Manager B</w:t>
      </w:r>
      <w:r w:rsidR="008D4165">
        <w:t xml:space="preserve"> Equities</w:t>
      </w:r>
      <w:r>
        <w:t xml:space="preserve"> Model Portfolio.</w:t>
      </w:r>
      <w:r w:rsidR="00794A07">
        <w:t xml:space="preserve"> The actual asset allocation is the following:</w:t>
      </w:r>
    </w:p>
    <w:p w14:paraId="728BDAE2" w14:textId="64376EAB" w:rsidR="00794A07" w:rsidRDefault="00F12D3E" w:rsidP="00DA733E">
      <w:pPr>
        <w:numPr>
          <w:ilvl w:val="0"/>
          <w:numId w:val="0"/>
        </w:numPr>
      </w:pPr>
      <w:r>
        <w:rPr>
          <w:noProof/>
          <w:lang w:eastAsia="en-AU"/>
        </w:rPr>
        <w:drawing>
          <wp:inline distT="0" distB="0" distL="0" distR="0" wp14:anchorId="3D9D714F" wp14:editId="46F7D52D">
            <wp:extent cx="5731510" cy="148971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9F810" w14:textId="7180EDBA" w:rsidR="00F12D3E" w:rsidRDefault="00F12D3E" w:rsidP="00DA733E">
      <w:pPr>
        <w:numPr>
          <w:ilvl w:val="0"/>
          <w:numId w:val="0"/>
        </w:numPr>
      </w:pPr>
      <w:r>
        <w:rPr>
          <w:noProof/>
          <w:lang w:eastAsia="en-AU"/>
        </w:rPr>
        <w:lastRenderedPageBreak/>
        <w:drawing>
          <wp:inline distT="0" distB="0" distL="0" distR="0" wp14:anchorId="7A2CFEFD" wp14:editId="1DE7F046">
            <wp:extent cx="5731510" cy="148971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E2C28" w14:textId="6519CC5E" w:rsidR="00486534" w:rsidRPr="00A34ADD" w:rsidRDefault="00486534" w:rsidP="00DA733E">
      <w:pPr>
        <w:numPr>
          <w:ilvl w:val="0"/>
          <w:numId w:val="0"/>
        </w:numPr>
      </w:pPr>
      <w:r>
        <w:t>As members are able to diverge from the investment strategy of the model portfolio, the actual asset allocation of the option will not necessarily equate to the strategic asset allocation levels</w:t>
      </w:r>
      <w:r w:rsidR="00310A6A">
        <w:t xml:space="preserve"> in these instances</w:t>
      </w:r>
      <w:r>
        <w:t>.</w:t>
      </w:r>
      <w:r w:rsidRPr="00486534">
        <w:t xml:space="preserve"> </w:t>
      </w:r>
      <w:r>
        <w:t xml:space="preserve">Above, it can be seen that members have pulled out from international assets, with the actual allocation falling short </w:t>
      </w:r>
      <w:bookmarkStart w:id="0" w:name="_GoBack"/>
      <w:bookmarkEnd w:id="0"/>
      <w:r>
        <w:t>of the SAA targets.</w:t>
      </w:r>
    </w:p>
    <w:sectPr w:rsidR="00486534" w:rsidRPr="00A34ADD" w:rsidSect="0049103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18D01" w14:textId="77777777" w:rsidR="00D411ED" w:rsidRPr="000D4EDE" w:rsidRDefault="00D411ED" w:rsidP="000D4EDE">
      <w:r>
        <w:separator/>
      </w:r>
    </w:p>
  </w:endnote>
  <w:endnote w:type="continuationSeparator" w:id="0">
    <w:p w14:paraId="449B527D" w14:textId="77777777" w:rsidR="00D411ED" w:rsidRPr="000D4EDE" w:rsidRDefault="00D411ED" w:rsidP="000D4EDE">
      <w:r>
        <w:continuationSeparator/>
      </w:r>
    </w:p>
  </w:endnote>
  <w:endnote w:type="continuationNotice" w:id="1">
    <w:p w14:paraId="5A5F2C1F" w14:textId="77777777" w:rsidR="00D411ED" w:rsidRDefault="00D411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altName w:val="Leelawadee UI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190B" w14:textId="77777777" w:rsidR="00CE3772" w:rsidRDefault="00CE3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A98B" w14:textId="77777777" w:rsidR="00CE3772" w:rsidRDefault="00CE3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2662" w14:textId="77777777" w:rsidR="00CE3772" w:rsidRDefault="00CE3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63EE" w14:textId="77777777" w:rsidR="00D411ED" w:rsidRPr="000D4EDE" w:rsidRDefault="00D411ED" w:rsidP="000D4EDE">
      <w:r>
        <w:separator/>
      </w:r>
    </w:p>
  </w:footnote>
  <w:footnote w:type="continuationSeparator" w:id="0">
    <w:p w14:paraId="781E9A91" w14:textId="77777777" w:rsidR="00D411ED" w:rsidRPr="000D4EDE" w:rsidRDefault="00D411ED" w:rsidP="000D4EDE">
      <w:r>
        <w:continuationSeparator/>
      </w:r>
    </w:p>
  </w:footnote>
  <w:footnote w:type="continuationNotice" w:id="1">
    <w:p w14:paraId="68892EDE" w14:textId="77777777" w:rsidR="00D411ED" w:rsidRDefault="00D411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44D0" w14:textId="77777777" w:rsidR="00CE3772" w:rsidRDefault="00CE3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309B" w14:textId="35E377D1" w:rsidR="00CE3772" w:rsidRDefault="00CE3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B29F" w14:textId="77777777" w:rsidR="00CE3772" w:rsidRDefault="00CE3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8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styleLockTheme/>
  <w:styleLockQFSet/>
  <w:defaultTabStop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C6"/>
    <w:rsid w:val="00004ED1"/>
    <w:rsid w:val="00005D98"/>
    <w:rsid w:val="00005F96"/>
    <w:rsid w:val="00007262"/>
    <w:rsid w:val="00011C96"/>
    <w:rsid w:val="000141B9"/>
    <w:rsid w:val="00034A19"/>
    <w:rsid w:val="00036F9E"/>
    <w:rsid w:val="000413B3"/>
    <w:rsid w:val="000453D9"/>
    <w:rsid w:val="000573E5"/>
    <w:rsid w:val="00057B71"/>
    <w:rsid w:val="0007202C"/>
    <w:rsid w:val="00072B30"/>
    <w:rsid w:val="0007319C"/>
    <w:rsid w:val="000732AA"/>
    <w:rsid w:val="000767DD"/>
    <w:rsid w:val="0008011A"/>
    <w:rsid w:val="00084F8B"/>
    <w:rsid w:val="000851D0"/>
    <w:rsid w:val="00086D07"/>
    <w:rsid w:val="00086F71"/>
    <w:rsid w:val="00093915"/>
    <w:rsid w:val="000949AD"/>
    <w:rsid w:val="00095109"/>
    <w:rsid w:val="00096B0F"/>
    <w:rsid w:val="000A490E"/>
    <w:rsid w:val="000B04C5"/>
    <w:rsid w:val="000B63CA"/>
    <w:rsid w:val="000B752A"/>
    <w:rsid w:val="000C14D9"/>
    <w:rsid w:val="000C15C7"/>
    <w:rsid w:val="000D4EDE"/>
    <w:rsid w:val="000E2460"/>
    <w:rsid w:val="000E43AC"/>
    <w:rsid w:val="000E6E37"/>
    <w:rsid w:val="000F0E6F"/>
    <w:rsid w:val="001018A5"/>
    <w:rsid w:val="00106F56"/>
    <w:rsid w:val="00115A39"/>
    <w:rsid w:val="00117479"/>
    <w:rsid w:val="00123576"/>
    <w:rsid w:val="001241CB"/>
    <w:rsid w:val="00124B21"/>
    <w:rsid w:val="001327B8"/>
    <w:rsid w:val="0013471B"/>
    <w:rsid w:val="001352D4"/>
    <w:rsid w:val="00146983"/>
    <w:rsid w:val="00155789"/>
    <w:rsid w:val="00157C98"/>
    <w:rsid w:val="001653B6"/>
    <w:rsid w:val="00165BF6"/>
    <w:rsid w:val="00174B0F"/>
    <w:rsid w:val="0018235E"/>
    <w:rsid w:val="00184187"/>
    <w:rsid w:val="001A4EA4"/>
    <w:rsid w:val="001A664F"/>
    <w:rsid w:val="001B2DB7"/>
    <w:rsid w:val="001B3A9F"/>
    <w:rsid w:val="001D0C02"/>
    <w:rsid w:val="001D3D43"/>
    <w:rsid w:val="001E0F51"/>
    <w:rsid w:val="001E55BF"/>
    <w:rsid w:val="001F6E1A"/>
    <w:rsid w:val="001F780A"/>
    <w:rsid w:val="001F7917"/>
    <w:rsid w:val="00200613"/>
    <w:rsid w:val="00214883"/>
    <w:rsid w:val="002156F6"/>
    <w:rsid w:val="0022012F"/>
    <w:rsid w:val="00220550"/>
    <w:rsid w:val="00224B5F"/>
    <w:rsid w:val="002301A2"/>
    <w:rsid w:val="00236C2D"/>
    <w:rsid w:val="002374B7"/>
    <w:rsid w:val="00240126"/>
    <w:rsid w:val="00241D16"/>
    <w:rsid w:val="00242384"/>
    <w:rsid w:val="0024304D"/>
    <w:rsid w:val="00244826"/>
    <w:rsid w:val="00247ACA"/>
    <w:rsid w:val="00252E6A"/>
    <w:rsid w:val="00255A20"/>
    <w:rsid w:val="0025782A"/>
    <w:rsid w:val="00263414"/>
    <w:rsid w:val="002661A6"/>
    <w:rsid w:val="00266C23"/>
    <w:rsid w:val="00277D6C"/>
    <w:rsid w:val="00286EAD"/>
    <w:rsid w:val="00292A60"/>
    <w:rsid w:val="0029389B"/>
    <w:rsid w:val="00294033"/>
    <w:rsid w:val="002A1894"/>
    <w:rsid w:val="002A2188"/>
    <w:rsid w:val="002A36F2"/>
    <w:rsid w:val="002A7160"/>
    <w:rsid w:val="002A7D14"/>
    <w:rsid w:val="002B0913"/>
    <w:rsid w:val="002B28E4"/>
    <w:rsid w:val="002B7504"/>
    <w:rsid w:val="002C0D97"/>
    <w:rsid w:val="002C66D1"/>
    <w:rsid w:val="002C7065"/>
    <w:rsid w:val="002C7F4A"/>
    <w:rsid w:val="002D2804"/>
    <w:rsid w:val="002D4B6C"/>
    <w:rsid w:val="002D5274"/>
    <w:rsid w:val="002E1EE3"/>
    <w:rsid w:val="002E7C24"/>
    <w:rsid w:val="002F0135"/>
    <w:rsid w:val="002F0C2C"/>
    <w:rsid w:val="00300655"/>
    <w:rsid w:val="00303D18"/>
    <w:rsid w:val="00307ADD"/>
    <w:rsid w:val="00307E55"/>
    <w:rsid w:val="00310A6A"/>
    <w:rsid w:val="00312A66"/>
    <w:rsid w:val="003130CA"/>
    <w:rsid w:val="0032180D"/>
    <w:rsid w:val="003306A5"/>
    <w:rsid w:val="00355D40"/>
    <w:rsid w:val="00371AAC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E16"/>
    <w:rsid w:val="003C180A"/>
    <w:rsid w:val="003C1E25"/>
    <w:rsid w:val="003D27CB"/>
    <w:rsid w:val="003D329D"/>
    <w:rsid w:val="003E6BF6"/>
    <w:rsid w:val="003F0F0D"/>
    <w:rsid w:val="00400A32"/>
    <w:rsid w:val="0040173E"/>
    <w:rsid w:val="00435339"/>
    <w:rsid w:val="004410DC"/>
    <w:rsid w:val="0044447D"/>
    <w:rsid w:val="00450C67"/>
    <w:rsid w:val="00460CF7"/>
    <w:rsid w:val="00463FA8"/>
    <w:rsid w:val="00466648"/>
    <w:rsid w:val="00472CBC"/>
    <w:rsid w:val="004765B3"/>
    <w:rsid w:val="004843CA"/>
    <w:rsid w:val="00486534"/>
    <w:rsid w:val="00491030"/>
    <w:rsid w:val="00493DAA"/>
    <w:rsid w:val="00494335"/>
    <w:rsid w:val="00495A4C"/>
    <w:rsid w:val="004967A1"/>
    <w:rsid w:val="004B584E"/>
    <w:rsid w:val="004C1106"/>
    <w:rsid w:val="004C6D4B"/>
    <w:rsid w:val="004C766B"/>
    <w:rsid w:val="004D1DB7"/>
    <w:rsid w:val="004D33E3"/>
    <w:rsid w:val="004D76C1"/>
    <w:rsid w:val="004D7C22"/>
    <w:rsid w:val="004E2269"/>
    <w:rsid w:val="004E451A"/>
    <w:rsid w:val="004F3339"/>
    <w:rsid w:val="004F72A2"/>
    <w:rsid w:val="004F78E5"/>
    <w:rsid w:val="005026D4"/>
    <w:rsid w:val="00503A51"/>
    <w:rsid w:val="00506774"/>
    <w:rsid w:val="00512305"/>
    <w:rsid w:val="00512309"/>
    <w:rsid w:val="00524986"/>
    <w:rsid w:val="00541D54"/>
    <w:rsid w:val="00542522"/>
    <w:rsid w:val="0054526E"/>
    <w:rsid w:val="00545CE1"/>
    <w:rsid w:val="005476B5"/>
    <w:rsid w:val="005549D7"/>
    <w:rsid w:val="00556573"/>
    <w:rsid w:val="005602DA"/>
    <w:rsid w:val="00562087"/>
    <w:rsid w:val="005678FC"/>
    <w:rsid w:val="0057138A"/>
    <w:rsid w:val="00573327"/>
    <w:rsid w:val="00591162"/>
    <w:rsid w:val="00592F64"/>
    <w:rsid w:val="005A3F63"/>
    <w:rsid w:val="005A59D0"/>
    <w:rsid w:val="005B073E"/>
    <w:rsid w:val="005B227F"/>
    <w:rsid w:val="005B5B43"/>
    <w:rsid w:val="005B7801"/>
    <w:rsid w:val="005C5891"/>
    <w:rsid w:val="005D04CC"/>
    <w:rsid w:val="005D5FAE"/>
    <w:rsid w:val="005E4BC9"/>
    <w:rsid w:val="005F29B7"/>
    <w:rsid w:val="00606EB5"/>
    <w:rsid w:val="00606FC8"/>
    <w:rsid w:val="00616C90"/>
    <w:rsid w:val="00617FDA"/>
    <w:rsid w:val="0062116F"/>
    <w:rsid w:val="00623FD7"/>
    <w:rsid w:val="00626087"/>
    <w:rsid w:val="00634E4C"/>
    <w:rsid w:val="00636B8B"/>
    <w:rsid w:val="00641EAA"/>
    <w:rsid w:val="006427FE"/>
    <w:rsid w:val="006506C1"/>
    <w:rsid w:val="00657459"/>
    <w:rsid w:val="0065747A"/>
    <w:rsid w:val="00662E28"/>
    <w:rsid w:val="0066674D"/>
    <w:rsid w:val="00666A78"/>
    <w:rsid w:val="00676BC6"/>
    <w:rsid w:val="00676C12"/>
    <w:rsid w:val="006900D6"/>
    <w:rsid w:val="0069375D"/>
    <w:rsid w:val="0069407C"/>
    <w:rsid w:val="0069574E"/>
    <w:rsid w:val="006969C0"/>
    <w:rsid w:val="006A1921"/>
    <w:rsid w:val="006A2303"/>
    <w:rsid w:val="006A2C82"/>
    <w:rsid w:val="006B659A"/>
    <w:rsid w:val="006D2A45"/>
    <w:rsid w:val="006D315C"/>
    <w:rsid w:val="006D71B8"/>
    <w:rsid w:val="006E4272"/>
    <w:rsid w:val="006F145A"/>
    <w:rsid w:val="006F27CB"/>
    <w:rsid w:val="006F359B"/>
    <w:rsid w:val="006F5865"/>
    <w:rsid w:val="007012CB"/>
    <w:rsid w:val="00701B02"/>
    <w:rsid w:val="00701EC6"/>
    <w:rsid w:val="00706179"/>
    <w:rsid w:val="00714F78"/>
    <w:rsid w:val="007152B0"/>
    <w:rsid w:val="007170F7"/>
    <w:rsid w:val="00717589"/>
    <w:rsid w:val="00722F9F"/>
    <w:rsid w:val="007253B8"/>
    <w:rsid w:val="00736E7D"/>
    <w:rsid w:val="00737F39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65749"/>
    <w:rsid w:val="00775AA0"/>
    <w:rsid w:val="007770FA"/>
    <w:rsid w:val="00791738"/>
    <w:rsid w:val="00791780"/>
    <w:rsid w:val="00792D37"/>
    <w:rsid w:val="00794A07"/>
    <w:rsid w:val="007A0EB7"/>
    <w:rsid w:val="007B6871"/>
    <w:rsid w:val="007B7899"/>
    <w:rsid w:val="007C08B1"/>
    <w:rsid w:val="007C2CC2"/>
    <w:rsid w:val="007C38BD"/>
    <w:rsid w:val="007C79AA"/>
    <w:rsid w:val="007D31DA"/>
    <w:rsid w:val="007D72C5"/>
    <w:rsid w:val="007E525D"/>
    <w:rsid w:val="007F0323"/>
    <w:rsid w:val="007F1CAC"/>
    <w:rsid w:val="007F379E"/>
    <w:rsid w:val="007F471C"/>
    <w:rsid w:val="00800C90"/>
    <w:rsid w:val="00802866"/>
    <w:rsid w:val="008125F8"/>
    <w:rsid w:val="008208A8"/>
    <w:rsid w:val="00826012"/>
    <w:rsid w:val="00834882"/>
    <w:rsid w:val="00834CE0"/>
    <w:rsid w:val="0084110F"/>
    <w:rsid w:val="00844B1D"/>
    <w:rsid w:val="00844F5C"/>
    <w:rsid w:val="00845843"/>
    <w:rsid w:val="00846D34"/>
    <w:rsid w:val="00863020"/>
    <w:rsid w:val="008637EC"/>
    <w:rsid w:val="00870BC6"/>
    <w:rsid w:val="00875DAD"/>
    <w:rsid w:val="00877B84"/>
    <w:rsid w:val="00877E5F"/>
    <w:rsid w:val="0088036D"/>
    <w:rsid w:val="008807C1"/>
    <w:rsid w:val="00881155"/>
    <w:rsid w:val="00882892"/>
    <w:rsid w:val="00885A14"/>
    <w:rsid w:val="0088689B"/>
    <w:rsid w:val="00890FA0"/>
    <w:rsid w:val="008947BF"/>
    <w:rsid w:val="008A0CBE"/>
    <w:rsid w:val="008A1CA8"/>
    <w:rsid w:val="008A214D"/>
    <w:rsid w:val="008A72D2"/>
    <w:rsid w:val="008A74A3"/>
    <w:rsid w:val="008B4036"/>
    <w:rsid w:val="008B6868"/>
    <w:rsid w:val="008B6D24"/>
    <w:rsid w:val="008C34F7"/>
    <w:rsid w:val="008C6A43"/>
    <w:rsid w:val="008D080C"/>
    <w:rsid w:val="008D1867"/>
    <w:rsid w:val="008D4165"/>
    <w:rsid w:val="008D6437"/>
    <w:rsid w:val="008D6EDF"/>
    <w:rsid w:val="008E3EF5"/>
    <w:rsid w:val="008F33B5"/>
    <w:rsid w:val="009002CC"/>
    <w:rsid w:val="00901414"/>
    <w:rsid w:val="00906799"/>
    <w:rsid w:val="00911855"/>
    <w:rsid w:val="0091492D"/>
    <w:rsid w:val="00922193"/>
    <w:rsid w:val="00924152"/>
    <w:rsid w:val="0093194D"/>
    <w:rsid w:val="00934C3F"/>
    <w:rsid w:val="009417AE"/>
    <w:rsid w:val="00945B3F"/>
    <w:rsid w:val="0095095C"/>
    <w:rsid w:val="00950DCB"/>
    <w:rsid w:val="00952D47"/>
    <w:rsid w:val="00952D4C"/>
    <w:rsid w:val="00960246"/>
    <w:rsid w:val="00963B90"/>
    <w:rsid w:val="0096680B"/>
    <w:rsid w:val="009720E1"/>
    <w:rsid w:val="00974F0E"/>
    <w:rsid w:val="00975CD7"/>
    <w:rsid w:val="00980CA1"/>
    <w:rsid w:val="00985E70"/>
    <w:rsid w:val="0098783B"/>
    <w:rsid w:val="00993C2B"/>
    <w:rsid w:val="009979F4"/>
    <w:rsid w:val="009A246D"/>
    <w:rsid w:val="009A45B2"/>
    <w:rsid w:val="009A5585"/>
    <w:rsid w:val="009A59D5"/>
    <w:rsid w:val="009B2CB7"/>
    <w:rsid w:val="009C2198"/>
    <w:rsid w:val="009D2DDD"/>
    <w:rsid w:val="009D5B6E"/>
    <w:rsid w:val="009E0C10"/>
    <w:rsid w:val="009E4116"/>
    <w:rsid w:val="009E529F"/>
    <w:rsid w:val="00A10DA6"/>
    <w:rsid w:val="00A151E9"/>
    <w:rsid w:val="00A15DBB"/>
    <w:rsid w:val="00A259F2"/>
    <w:rsid w:val="00A260CD"/>
    <w:rsid w:val="00A2758A"/>
    <w:rsid w:val="00A33802"/>
    <w:rsid w:val="00A34ADD"/>
    <w:rsid w:val="00A36A08"/>
    <w:rsid w:val="00A37162"/>
    <w:rsid w:val="00A37E51"/>
    <w:rsid w:val="00A51E2D"/>
    <w:rsid w:val="00A5319F"/>
    <w:rsid w:val="00A533A9"/>
    <w:rsid w:val="00A53690"/>
    <w:rsid w:val="00A62D31"/>
    <w:rsid w:val="00A63380"/>
    <w:rsid w:val="00A721EA"/>
    <w:rsid w:val="00A8129D"/>
    <w:rsid w:val="00A82188"/>
    <w:rsid w:val="00A865C7"/>
    <w:rsid w:val="00A909CC"/>
    <w:rsid w:val="00A964A5"/>
    <w:rsid w:val="00A97E3B"/>
    <w:rsid w:val="00AA00CB"/>
    <w:rsid w:val="00AA20A1"/>
    <w:rsid w:val="00AA41F2"/>
    <w:rsid w:val="00AA5A7D"/>
    <w:rsid w:val="00AB039E"/>
    <w:rsid w:val="00AB4206"/>
    <w:rsid w:val="00AB486C"/>
    <w:rsid w:val="00AC7E54"/>
    <w:rsid w:val="00AE6A4E"/>
    <w:rsid w:val="00AE7B98"/>
    <w:rsid w:val="00AF129F"/>
    <w:rsid w:val="00B12DC9"/>
    <w:rsid w:val="00B13F84"/>
    <w:rsid w:val="00B14604"/>
    <w:rsid w:val="00B15ABA"/>
    <w:rsid w:val="00B20FA0"/>
    <w:rsid w:val="00B24DD4"/>
    <w:rsid w:val="00B25BE7"/>
    <w:rsid w:val="00B33DF7"/>
    <w:rsid w:val="00B34339"/>
    <w:rsid w:val="00B40B7D"/>
    <w:rsid w:val="00B42B2F"/>
    <w:rsid w:val="00B44900"/>
    <w:rsid w:val="00B467F6"/>
    <w:rsid w:val="00B472E1"/>
    <w:rsid w:val="00B52821"/>
    <w:rsid w:val="00B56C63"/>
    <w:rsid w:val="00B664C7"/>
    <w:rsid w:val="00B71170"/>
    <w:rsid w:val="00B80BCE"/>
    <w:rsid w:val="00B81524"/>
    <w:rsid w:val="00B81740"/>
    <w:rsid w:val="00B82AD7"/>
    <w:rsid w:val="00B83542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C22E4"/>
    <w:rsid w:val="00BD12A1"/>
    <w:rsid w:val="00BD1D09"/>
    <w:rsid w:val="00BD7B83"/>
    <w:rsid w:val="00BF17C6"/>
    <w:rsid w:val="00BF6F09"/>
    <w:rsid w:val="00C00FDA"/>
    <w:rsid w:val="00C02EB9"/>
    <w:rsid w:val="00C0373C"/>
    <w:rsid w:val="00C04E4B"/>
    <w:rsid w:val="00C11531"/>
    <w:rsid w:val="00C11B56"/>
    <w:rsid w:val="00C14C04"/>
    <w:rsid w:val="00C1529E"/>
    <w:rsid w:val="00C16045"/>
    <w:rsid w:val="00C21E27"/>
    <w:rsid w:val="00C2332A"/>
    <w:rsid w:val="00C42EA5"/>
    <w:rsid w:val="00C43600"/>
    <w:rsid w:val="00C52CBA"/>
    <w:rsid w:val="00C57A80"/>
    <w:rsid w:val="00C62BF5"/>
    <w:rsid w:val="00C636DA"/>
    <w:rsid w:val="00C67E22"/>
    <w:rsid w:val="00C72271"/>
    <w:rsid w:val="00C72A17"/>
    <w:rsid w:val="00C81356"/>
    <w:rsid w:val="00C813CD"/>
    <w:rsid w:val="00C858D9"/>
    <w:rsid w:val="00C87DA0"/>
    <w:rsid w:val="00CA4E4D"/>
    <w:rsid w:val="00CA6FF9"/>
    <w:rsid w:val="00CB4238"/>
    <w:rsid w:val="00CB5938"/>
    <w:rsid w:val="00CB5B27"/>
    <w:rsid w:val="00CC13F5"/>
    <w:rsid w:val="00CC1A64"/>
    <w:rsid w:val="00CC34EB"/>
    <w:rsid w:val="00CC66EA"/>
    <w:rsid w:val="00CD3C17"/>
    <w:rsid w:val="00CE1F9C"/>
    <w:rsid w:val="00CE2E48"/>
    <w:rsid w:val="00CE3772"/>
    <w:rsid w:val="00CF0184"/>
    <w:rsid w:val="00CF55F6"/>
    <w:rsid w:val="00CF59E0"/>
    <w:rsid w:val="00CF6672"/>
    <w:rsid w:val="00D021F7"/>
    <w:rsid w:val="00D069C7"/>
    <w:rsid w:val="00D078A2"/>
    <w:rsid w:val="00D21123"/>
    <w:rsid w:val="00D26BB7"/>
    <w:rsid w:val="00D367EB"/>
    <w:rsid w:val="00D36C91"/>
    <w:rsid w:val="00D411ED"/>
    <w:rsid w:val="00D41871"/>
    <w:rsid w:val="00D45954"/>
    <w:rsid w:val="00D461C2"/>
    <w:rsid w:val="00D61AAE"/>
    <w:rsid w:val="00D64CB8"/>
    <w:rsid w:val="00D720AE"/>
    <w:rsid w:val="00D72FD8"/>
    <w:rsid w:val="00D92A45"/>
    <w:rsid w:val="00D9697A"/>
    <w:rsid w:val="00DA3023"/>
    <w:rsid w:val="00DA4C48"/>
    <w:rsid w:val="00DA727D"/>
    <w:rsid w:val="00DA733E"/>
    <w:rsid w:val="00DB53A7"/>
    <w:rsid w:val="00DD170F"/>
    <w:rsid w:val="00DE0A8A"/>
    <w:rsid w:val="00DF2F8B"/>
    <w:rsid w:val="00DF6837"/>
    <w:rsid w:val="00DF68E4"/>
    <w:rsid w:val="00DF6E54"/>
    <w:rsid w:val="00E04228"/>
    <w:rsid w:val="00E04457"/>
    <w:rsid w:val="00E04BBC"/>
    <w:rsid w:val="00E10450"/>
    <w:rsid w:val="00E1478E"/>
    <w:rsid w:val="00E159D7"/>
    <w:rsid w:val="00E213AB"/>
    <w:rsid w:val="00E21653"/>
    <w:rsid w:val="00E21C9B"/>
    <w:rsid w:val="00E2414E"/>
    <w:rsid w:val="00E26830"/>
    <w:rsid w:val="00E26FAF"/>
    <w:rsid w:val="00E40B36"/>
    <w:rsid w:val="00E51672"/>
    <w:rsid w:val="00E522FC"/>
    <w:rsid w:val="00E55EE5"/>
    <w:rsid w:val="00E61784"/>
    <w:rsid w:val="00E625B3"/>
    <w:rsid w:val="00E64743"/>
    <w:rsid w:val="00E7257D"/>
    <w:rsid w:val="00E728CB"/>
    <w:rsid w:val="00E7336F"/>
    <w:rsid w:val="00E74F3B"/>
    <w:rsid w:val="00E76262"/>
    <w:rsid w:val="00E84A6B"/>
    <w:rsid w:val="00E92385"/>
    <w:rsid w:val="00E939E1"/>
    <w:rsid w:val="00E93F74"/>
    <w:rsid w:val="00E96DEA"/>
    <w:rsid w:val="00EA1585"/>
    <w:rsid w:val="00EA48AE"/>
    <w:rsid w:val="00EB09E2"/>
    <w:rsid w:val="00EB74A5"/>
    <w:rsid w:val="00EE0126"/>
    <w:rsid w:val="00EE0C89"/>
    <w:rsid w:val="00EE47FE"/>
    <w:rsid w:val="00EE50C6"/>
    <w:rsid w:val="00EE5D41"/>
    <w:rsid w:val="00EE766D"/>
    <w:rsid w:val="00EF2A15"/>
    <w:rsid w:val="00EF5BFD"/>
    <w:rsid w:val="00EF7B33"/>
    <w:rsid w:val="00F00470"/>
    <w:rsid w:val="00F01C6F"/>
    <w:rsid w:val="00F0509B"/>
    <w:rsid w:val="00F0601C"/>
    <w:rsid w:val="00F06EE2"/>
    <w:rsid w:val="00F074DC"/>
    <w:rsid w:val="00F12D3E"/>
    <w:rsid w:val="00F15632"/>
    <w:rsid w:val="00F17535"/>
    <w:rsid w:val="00F20949"/>
    <w:rsid w:val="00F24F8F"/>
    <w:rsid w:val="00F27A80"/>
    <w:rsid w:val="00F303B2"/>
    <w:rsid w:val="00F307E0"/>
    <w:rsid w:val="00F34D63"/>
    <w:rsid w:val="00F460EF"/>
    <w:rsid w:val="00F57F7A"/>
    <w:rsid w:val="00F62D33"/>
    <w:rsid w:val="00F64AB3"/>
    <w:rsid w:val="00F6570B"/>
    <w:rsid w:val="00F67615"/>
    <w:rsid w:val="00F76C98"/>
    <w:rsid w:val="00F804CD"/>
    <w:rsid w:val="00F80750"/>
    <w:rsid w:val="00F85F59"/>
    <w:rsid w:val="00F86538"/>
    <w:rsid w:val="00F86717"/>
    <w:rsid w:val="00F86DD4"/>
    <w:rsid w:val="00F97C7A"/>
    <w:rsid w:val="00FA2909"/>
    <w:rsid w:val="00FA3CEC"/>
    <w:rsid w:val="00FB4CF2"/>
    <w:rsid w:val="00FB7855"/>
    <w:rsid w:val="00FC4845"/>
    <w:rsid w:val="00FC6B03"/>
    <w:rsid w:val="00FD06D5"/>
    <w:rsid w:val="00FD28FF"/>
    <w:rsid w:val="00FD44FF"/>
    <w:rsid w:val="00FD68A1"/>
    <w:rsid w:val="00FE3F31"/>
    <w:rsid w:val="00FE419E"/>
    <w:rsid w:val="00FE67BC"/>
    <w:rsid w:val="00FF2484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215BD9B"/>
  <w15:chartTrackingRefBased/>
  <w15:docId w15:val="{2CE97BAC-E5EE-4D1C-99C3-0D9AF5F2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iPriority="13" w:unhideWhenUsed="1" w:qFormat="1"/>
    <w:lsdException w:name="List Number" w:uiPriority="15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iPriority="13" w:unhideWhenUsed="1" w:qFormat="1"/>
    <w:lsdException w:name="List Bullet 3" w:uiPriority="1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iPriority="29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7" w:qFormat="1"/>
    <w:lsdException w:name="Quote" w:uiPriority="1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99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table" w:styleId="GridTable4-Accent5">
    <w:name w:val="Grid Table 4 Accent 5"/>
    <w:basedOn w:val="TableNormal"/>
    <w:uiPriority w:val="49"/>
    <w:locked/>
    <w:rsid w:val="00676BC6"/>
    <w:pPr>
      <w:spacing w:after="0"/>
      <w:jc w:val="left"/>
    </w:pPr>
    <w:rPr>
      <w:rFonts w:asciiTheme="minorHAnsi" w:eastAsia="Times New Roman" w:hAnsiTheme="minorHAnsi" w:cs="Cordia New"/>
      <w:color w:val="auto"/>
    </w:rPr>
    <w:tblPr>
      <w:tblStyleRowBandSize w:val="1"/>
      <w:tblStyleColBandSize w:val="1"/>
      <w:tblBorders>
        <w:top w:val="single" w:sz="4" w:space="0" w:color="8FADBF" w:themeColor="accent5" w:themeTint="99"/>
        <w:left w:val="single" w:sz="4" w:space="0" w:color="8FADBF" w:themeColor="accent5" w:themeTint="99"/>
        <w:bottom w:val="single" w:sz="4" w:space="0" w:color="8FADBF" w:themeColor="accent5" w:themeTint="99"/>
        <w:right w:val="single" w:sz="4" w:space="0" w:color="8FADBF" w:themeColor="accent5" w:themeTint="99"/>
        <w:insideH w:val="single" w:sz="4" w:space="0" w:color="8FADBF" w:themeColor="accent5" w:themeTint="99"/>
        <w:insideV w:val="single" w:sz="4" w:space="0" w:color="8FADBF" w:themeColor="accent5" w:themeTint="99"/>
      </w:tblBorders>
    </w:tblPr>
    <w:tblStylePr w:type="firstRow">
      <w:rPr>
        <w:rFonts w:cs="Cordia New"/>
        <w:b/>
        <w:bCs/>
        <w:color w:val="FFFFFF" w:themeColor="background1"/>
      </w:rPr>
      <w:tblPr/>
      <w:tcPr>
        <w:tcBorders>
          <w:top w:val="single" w:sz="4" w:space="0" w:color="4F758B" w:themeColor="accent5"/>
          <w:left w:val="single" w:sz="4" w:space="0" w:color="4F758B" w:themeColor="accent5"/>
          <w:bottom w:val="single" w:sz="4" w:space="0" w:color="4F758B" w:themeColor="accent5"/>
          <w:right w:val="single" w:sz="4" w:space="0" w:color="4F758B" w:themeColor="accent5"/>
          <w:insideH w:val="nil"/>
          <w:insideV w:val="nil"/>
        </w:tcBorders>
        <w:shd w:val="clear" w:color="auto" w:fill="4F758B" w:themeFill="accent5"/>
      </w:tcPr>
    </w:tblStylePr>
    <w:tblStylePr w:type="lastRow">
      <w:rPr>
        <w:rFonts w:cs="Cordia New"/>
        <w:b/>
        <w:bCs/>
      </w:rPr>
      <w:tblPr/>
      <w:tcPr>
        <w:tcBorders>
          <w:top w:val="double" w:sz="4" w:space="0" w:color="4F758B" w:themeColor="accent5"/>
        </w:tcBorders>
      </w:tcPr>
    </w:tblStylePr>
    <w:tblStylePr w:type="firstCol">
      <w:rPr>
        <w:rFonts w:cs="Cordia New"/>
        <w:b/>
        <w:bCs/>
      </w:rPr>
    </w:tblStylePr>
    <w:tblStylePr w:type="lastCol">
      <w:rPr>
        <w:rFonts w:cs="Cordia New"/>
        <w:b/>
        <w:bCs/>
      </w:rPr>
    </w:tblStylePr>
    <w:tblStylePr w:type="band1Vert">
      <w:rPr>
        <w:rFonts w:cs="Cordia New"/>
      </w:rPr>
      <w:tblPr/>
      <w:tcPr>
        <w:shd w:val="clear" w:color="auto" w:fill="D9E3E9" w:themeFill="accent5" w:themeFillTint="33"/>
      </w:tcPr>
    </w:tblStylePr>
    <w:tblStylePr w:type="band1Horz">
      <w:rPr>
        <w:rFonts w:cs="Cordia New"/>
      </w:rPr>
      <w:tblPr/>
      <w:tcPr>
        <w:shd w:val="clear" w:color="auto" w:fill="D9E3E9" w:themeFill="accent5" w:themeFillTint="33"/>
      </w:tcPr>
    </w:tblStylePr>
  </w:style>
  <w:style w:type="paragraph" w:customStyle="1" w:styleId="BULLET2">
    <w:name w:val="BULLET 2"/>
    <w:basedOn w:val="Normal"/>
    <w:qFormat/>
    <w:rsid w:val="002E7C24"/>
    <w:pPr>
      <w:numPr>
        <w:numId w:val="12"/>
      </w:numPr>
    </w:pPr>
    <w:rPr>
      <w:rFonts w:eastAsiaTheme="minorEastAsia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</TermName>
          <TermId xmlns="http://schemas.microsoft.com/office/infopath/2007/PartnerControls">622d8f75-8851-e311-9e2e-005056b54f10</TermId>
        </TermInfo>
      </Terms>
    </l003ee8eff60461aa1bd0027aba92ea4>
    <_dlc_DocId xmlns="814d62cb-2db6-4c25-ab62-b9075facbc11">VQVUQ2WUPSKA-1683173573-68316</_dlc_DocId>
    <TaxCatchAll xmlns="814d62cb-2db6-4c25-ab62-b9075facbc11">
      <Value>48</Value>
      <Value>47</Value>
      <Value>46</Value>
      <Value>11</Value>
      <Value>1</Value>
    </TaxCatchAl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/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_dlc_DocIdUrl xmlns="814d62cb-2db6-4c25-ab62-b9075facbc11">
      <Url>https://im/teams/DA/_layouts/15/DocIdRedir.aspx?ID=VQVUQ2WUPSKA-1683173573-68316</Url>
      <Description>VQVUQ2WUPSKA-1683173573-68316</Description>
    </_dlc_DocIdUrl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Instructions</TermName>
          <TermId xmlns="http://schemas.microsoft.com/office/infopath/2007/PartnerControls">660a0f40-4e53-4a96-ac93-47018aee9683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APRADocScanCheck xmlns="814d62cb-2db6-4c25-ab62-b9075facbc11">false</APRADocScanChec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CAB0-AB81-49C1-87E4-C39BD34E7D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54FEE4-EB9A-4C04-BF4E-E9AB05DEA5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BD1C38E-929C-4767-9898-371698011941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814d62cb-2db6-4c25-ab62-b9075facbc11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A29667-2FEB-49AD-AE94-6D002181C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DBC8DD-165E-484A-B678-17EBB810B2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7C114D-34D2-457C-BDA0-F3CE5BE9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951</Words>
  <Characters>5423</Characters>
  <Application>Microsoft Office Word</Application>
  <DocSecurity>0</DocSecurity>
  <Lines>208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 Allocation Worked Examples</vt:lpstr>
    </vt:vector>
  </TitlesOfParts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Allocation Worked Examples</dc:title>
  <dc:subject/>
  <dc:description/>
  <cp:lastPrinted>2014-02-02T12:10:00Z</cp:lastPrinted>
  <dcterms:created xsi:type="dcterms:W3CDTF">2020-10-26T08:53:00Z</dcterms:created>
  <dcterms:modified xsi:type="dcterms:W3CDTF">2020-10-26T08:53:00Z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SecurityClassification">
    <vt:lpwstr>UNCLASSIFIED</vt:lpwstr>
  </property>
  <property fmtid="{D5CDD505-2E9C-101B-9397-08002B2CF9AE}" pid="7" name="PM_InsertionValue">
    <vt:lpwstr>UNCLASSIFIED</vt:lpwstr>
  </property>
  <property fmtid="{D5CDD505-2E9C-101B-9397-08002B2CF9AE}" pid="8" name="PM_Originating_FileId">
    <vt:lpwstr>B2CEFDF3839B4528A851BB6437444D05</vt:lpwstr>
  </property>
  <property fmtid="{D5CDD505-2E9C-101B-9397-08002B2CF9AE}" pid="9" name="PM_ProtectiveMarkingValue_Footer">
    <vt:lpwstr>UNCLASSIFIED</vt:lpwstr>
  </property>
  <property fmtid="{D5CDD505-2E9C-101B-9397-08002B2CF9AE}" pid="10" name="PM_Originator_Hash_SHA1">
    <vt:lpwstr>C6F049F9215B4860D499B2DEDA77C51102651A20</vt:lpwstr>
  </property>
  <property fmtid="{D5CDD505-2E9C-101B-9397-08002B2CF9AE}" pid="11" name="PM_OriginationTimeStamp">
    <vt:lpwstr>2020-10-26T08:51:53Z</vt:lpwstr>
  </property>
  <property fmtid="{D5CDD505-2E9C-101B-9397-08002B2CF9AE}" pid="12" name="PM_ProtectiveMarkingValue_Header">
    <vt:lpwstr>UNCLASSIFIED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2012.3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E3C9308784BB1D4C05B74B47B66F1425</vt:lpwstr>
  </property>
  <property fmtid="{D5CDD505-2E9C-101B-9397-08002B2CF9AE}" pid="20" name="PM_Hash_Salt">
    <vt:lpwstr>86D9A12C373CCCB4305A33FFCDC7FB79</vt:lpwstr>
  </property>
  <property fmtid="{D5CDD505-2E9C-101B-9397-08002B2CF9AE}" pid="21" name="PM_Hash_SHA1">
    <vt:lpwstr>1DBF8A3C6F2CD7C50CEE452D756AD3F7F74102C3</vt:lpwstr>
  </property>
  <property fmtid="{D5CDD505-2E9C-101B-9397-08002B2CF9AE}" pid="22" name="PM_SecurityClassification_Prev">
    <vt:lpwstr>UNCLASSIFIED</vt:lpwstr>
  </property>
  <property fmtid="{D5CDD505-2E9C-101B-9397-08002B2CF9AE}" pid="23" name="PM_Qualifier_Prev">
    <vt:lpwstr/>
  </property>
  <property fmtid="{D5CDD505-2E9C-101B-9397-08002B2CF9AE}" pid="24" name="APRAPeriod">
    <vt:lpwstr/>
  </property>
  <property fmtid="{D5CDD505-2E9C-101B-9397-08002B2CF9AE}" pid="25" name="ContentTypeId">
    <vt:lpwstr>0x0101008CA7A4F8331B45C7B0D3158B4994D0CA0200BD2A692CFD66A941B2B82EF45B0E040E</vt:lpwstr>
  </property>
  <property fmtid="{D5CDD505-2E9C-101B-9397-08002B2CF9AE}" pid="26" name="_dlc_DocIdItemGuid">
    <vt:lpwstr>c23e4cf3-5ae5-4b25-8440-dbadf6cb4980</vt:lpwstr>
  </property>
  <property fmtid="{D5CDD505-2E9C-101B-9397-08002B2CF9AE}" pid="27" name="APRAPRSG">
    <vt:lpwstr/>
  </property>
  <property fmtid="{D5CDD505-2E9C-101B-9397-08002B2CF9AE}" pid="28" name="APRAStatus">
    <vt:lpwstr>1;#Draft|0e1556d2-3fe8-443a-ada7-3620563b46b3</vt:lpwstr>
  </property>
  <property fmtid="{D5CDD505-2E9C-101B-9397-08002B2CF9AE}" pid="29" name="APRAActivity">
    <vt:lpwstr>47;#Data collection|9c208ec1-acb8-4005-ba1a-e7d4ed62ea16;#48;#Development|7276960b-cd04-4fd9-bbf6-f5b03d867772</vt:lpwstr>
  </property>
  <property fmtid="{D5CDD505-2E9C-101B-9397-08002B2CF9AE}" pid="30" name="APRAYear">
    <vt:lpwstr/>
  </property>
  <property fmtid="{D5CDD505-2E9C-101B-9397-08002B2CF9AE}" pid="31" name="APRAIndustry">
    <vt:lpwstr>11;#SUPER|622d8f75-8851-e311-9e2e-005056b54f10</vt:lpwstr>
  </property>
  <property fmtid="{D5CDD505-2E9C-101B-9397-08002B2CF9AE}" pid="32" name="APRACostCentre">
    <vt:lpwstr/>
  </property>
  <property fmtid="{D5CDD505-2E9C-101B-9397-08002B2CF9AE}" pid="33" name="IT system type">
    <vt:lpwstr/>
  </property>
  <property fmtid="{D5CDD505-2E9C-101B-9397-08002B2CF9AE}" pid="34" name="APRACategory">
    <vt:lpwstr/>
  </property>
  <property fmtid="{D5CDD505-2E9C-101B-9397-08002B2CF9AE}" pid="35" name="APRADocumentType">
    <vt:lpwstr>46;#Instructions|660a0f40-4e53-4a96-ac93-47018aee9683</vt:lpwstr>
  </property>
  <property fmtid="{D5CDD505-2E9C-101B-9397-08002B2CF9AE}" pid="36" name="APRAEntityAdviceSupport">
    <vt:lpwstr/>
  </property>
  <property fmtid="{D5CDD505-2E9C-101B-9397-08002B2CF9AE}" pid="37" name="APRALegislation">
    <vt:lpwstr/>
  </property>
  <property fmtid="{D5CDD505-2E9C-101B-9397-08002B2CF9AE}" pid="38" name="APRAExternalOrganisation">
    <vt:lpwstr/>
  </property>
  <property fmtid="{D5CDD505-2E9C-101B-9397-08002B2CF9AE}" pid="39" name="APRAIRTR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{99f7d170-f886-4b78-8389-87e4657e4bc8}</vt:lpwstr>
  </property>
  <property fmtid="{D5CDD505-2E9C-101B-9397-08002B2CF9AE}" pid="42" name="RecordPoint_ActiveItemListId">
    <vt:lpwstr>{61fbfb6e-bac9-459c-9569-360598f35847}</vt:lpwstr>
  </property>
  <property fmtid="{D5CDD505-2E9C-101B-9397-08002B2CF9AE}" pid="43" name="RecordPoint_ActiveItemUniqueId">
    <vt:lpwstr>{c23e4cf3-5ae5-4b25-8440-dbadf6cb4980}</vt:lpwstr>
  </property>
  <property fmtid="{D5CDD505-2E9C-101B-9397-08002B2CF9AE}" pid="44" name="RecordPoint_ActiveItemWebId">
    <vt:lpwstr>{ad6dddf9-383b-42a4-9cb2-33e024a97839}</vt:lpwstr>
  </property>
  <property fmtid="{D5CDD505-2E9C-101B-9397-08002B2CF9AE}" pid="45" name="RecordPoint_RecordNumberSubmitted">
    <vt:lpwstr>R0001191275</vt:lpwstr>
  </property>
  <property fmtid="{D5CDD505-2E9C-101B-9397-08002B2CF9AE}" pid="46" name="RecordPoint_SubmissionCompleted">
    <vt:lpwstr>2020-10-20T23:26:12.7608239+11:00</vt:lpwstr>
  </property>
  <property fmtid="{D5CDD505-2E9C-101B-9397-08002B2CF9AE}" pid="47" name="IsLocked">
    <vt:lpwstr>Yes</vt:lpwstr>
  </property>
</Properties>
</file>